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EB8" w:rsidRPr="00B55935" w:rsidRDefault="00C23EB8" w:rsidP="00C23EB8">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#87</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R4-180</w:t>
      </w:r>
      <w:r w:rsidR="00B050D7">
        <w:rPr>
          <w:rFonts w:ascii="Calibri" w:eastAsia="新細明體" w:hAnsi="Calibri" w:cs="Arial"/>
          <w:noProof w:val="0"/>
          <w:sz w:val="24"/>
          <w:szCs w:val="24"/>
          <w:lang w:eastAsia="ja-JP"/>
        </w:rPr>
        <w:t>6545</w:t>
      </w:r>
    </w:p>
    <w:p w:rsidR="00C23EB8" w:rsidRPr="00B55935" w:rsidRDefault="00C23EB8" w:rsidP="00C23EB8">
      <w:pPr>
        <w:tabs>
          <w:tab w:val="left" w:pos="1985"/>
        </w:tabs>
        <w:jc w:val="both"/>
        <w:rPr>
          <w:rFonts w:eastAsia="MS Mincho" w:cs="Arial"/>
          <w:b/>
          <w:bCs/>
          <w:color w:val="0D0D0D"/>
          <w:szCs w:val="20"/>
          <w:lang w:val="en-GB" w:eastAsia="en-US"/>
        </w:rPr>
      </w:pPr>
      <w:r>
        <w:rPr>
          <w:rFonts w:cs="Arial"/>
          <w:b/>
          <w:lang w:eastAsia="ja-JP"/>
        </w:rPr>
        <w:t>Busan</w:t>
      </w:r>
      <w:r w:rsidRPr="00B55935">
        <w:rPr>
          <w:rFonts w:cs="Arial"/>
          <w:b/>
          <w:lang w:eastAsia="ja-JP"/>
        </w:rPr>
        <w:t>,</w:t>
      </w:r>
      <w:r>
        <w:rPr>
          <w:rFonts w:cs="Arial"/>
          <w:b/>
          <w:lang w:eastAsia="ja-JP"/>
        </w:rPr>
        <w:t xml:space="preserve"> Korea</w:t>
      </w:r>
      <w:r w:rsidRPr="00B55935">
        <w:rPr>
          <w:rFonts w:cs="Arial"/>
          <w:b/>
          <w:lang w:eastAsia="ja-JP"/>
        </w:rPr>
        <w:t xml:space="preserve">, </w:t>
      </w:r>
      <w:r>
        <w:rPr>
          <w:rFonts w:cs="Arial"/>
          <w:b/>
          <w:lang w:eastAsia="ja-JP"/>
        </w:rPr>
        <w:t>May</w:t>
      </w:r>
      <w:r w:rsidRPr="00B55935">
        <w:rPr>
          <w:rFonts w:cs="Arial"/>
          <w:b/>
          <w:lang w:eastAsia="ja-JP"/>
        </w:rPr>
        <w:t xml:space="preserve"> </w:t>
      </w:r>
      <w:r>
        <w:rPr>
          <w:rFonts w:cs="Arial"/>
          <w:b/>
          <w:lang w:eastAsia="ja-JP"/>
        </w:rPr>
        <w:t>21</w:t>
      </w:r>
      <w:r w:rsidRPr="00191CCD">
        <w:rPr>
          <w:rFonts w:cs="Arial"/>
          <w:b/>
          <w:vertAlign w:val="superscript"/>
          <w:lang w:eastAsia="ja-JP"/>
        </w:rPr>
        <w:t>st</w:t>
      </w:r>
      <w:r>
        <w:rPr>
          <w:rFonts w:cs="Arial"/>
          <w:b/>
          <w:lang w:eastAsia="ja-JP"/>
        </w:rPr>
        <w:t xml:space="preserve"> </w:t>
      </w:r>
      <w:r w:rsidRPr="00B55935">
        <w:rPr>
          <w:rFonts w:cs="Arial"/>
          <w:b/>
          <w:lang w:eastAsia="ja-JP"/>
        </w:rPr>
        <w:t>–</w:t>
      </w:r>
      <w:r>
        <w:rPr>
          <w:rFonts w:cs="Arial"/>
          <w:b/>
          <w:lang w:eastAsia="ja-JP"/>
        </w:rPr>
        <w:t>25</w:t>
      </w:r>
      <w:r w:rsidRPr="00191CCD">
        <w:rPr>
          <w:rFonts w:cs="Arial"/>
          <w:b/>
          <w:vertAlign w:val="superscript"/>
          <w:lang w:eastAsia="ja-JP"/>
        </w:rPr>
        <w:t>th</w:t>
      </w:r>
      <w:r>
        <w:rPr>
          <w:rFonts w:cs="Arial"/>
          <w:b/>
          <w:lang w:eastAsia="ja-JP"/>
        </w:rPr>
        <w:t>, 2018</w:t>
      </w:r>
    </w:p>
    <w:p w:rsidR="005E232D" w:rsidRPr="00341A87" w:rsidRDefault="005E232D" w:rsidP="00A73AF2">
      <w:pPr>
        <w:pStyle w:val="a3"/>
        <w:rPr>
          <w:rFonts w:ascii="Calibri" w:hAnsi="Calibri"/>
          <w:bCs/>
          <w:noProof w:val="0"/>
          <w:sz w:val="24"/>
          <w:lang w:val="en-GB" w:eastAsia="ja-JP"/>
        </w:rPr>
      </w:pPr>
    </w:p>
    <w:p w:rsidR="00A73AF2" w:rsidRPr="00FD1290" w:rsidRDefault="00A73AF2" w:rsidP="00A73AF2">
      <w:pPr>
        <w:rPr>
          <w:rFonts w:cs="Arial"/>
          <w:b/>
          <w:bCs/>
          <w:sz w:val="24"/>
          <w:szCs w:val="20"/>
        </w:rPr>
      </w:pPr>
      <w:r>
        <w:rPr>
          <w:rFonts w:cs="Arial"/>
          <w:b/>
          <w:bCs/>
          <w:sz w:val="24"/>
        </w:rPr>
        <w:t xml:space="preserve">Agenda item:            </w:t>
      </w:r>
      <w:r w:rsidR="00A5222D" w:rsidRPr="00A5222D">
        <w:rPr>
          <w:rFonts w:cs="Arial"/>
          <w:b/>
          <w:bCs/>
          <w:sz w:val="24"/>
        </w:rPr>
        <w:t>7.</w:t>
      </w:r>
      <w:r w:rsidR="00341A87">
        <w:rPr>
          <w:rFonts w:cs="Arial"/>
          <w:b/>
          <w:bCs/>
          <w:sz w:val="24"/>
        </w:rPr>
        <w:t>10</w:t>
      </w:r>
      <w:r w:rsidR="00A5222D" w:rsidRPr="00A5222D">
        <w:rPr>
          <w:rFonts w:cs="Arial"/>
          <w:b/>
          <w:bCs/>
          <w:sz w:val="24"/>
        </w:rPr>
        <w:t>.</w:t>
      </w:r>
      <w:r w:rsidR="00053C07">
        <w:rPr>
          <w:rFonts w:cs="Arial"/>
          <w:b/>
          <w:bCs/>
          <w:sz w:val="24"/>
        </w:rPr>
        <w:t>4.1.1</w:t>
      </w:r>
    </w:p>
    <w:p w:rsidR="00A73AF2" w:rsidRPr="00C04430" w:rsidRDefault="00E57D11" w:rsidP="00A73AF2">
      <w:pPr>
        <w:tabs>
          <w:tab w:val="left" w:pos="1985"/>
        </w:tabs>
        <w:ind w:left="1985" w:hanging="1985"/>
        <w:rPr>
          <w:b/>
          <w:bCs/>
          <w:sz w:val="24"/>
          <w:szCs w:val="24"/>
        </w:rPr>
      </w:pPr>
      <w:r>
        <w:rPr>
          <w:b/>
          <w:bCs/>
          <w:sz w:val="24"/>
          <w:szCs w:val="24"/>
        </w:rPr>
        <w:t>Source:</w:t>
      </w:r>
      <w:r>
        <w:rPr>
          <w:b/>
          <w:bCs/>
          <w:sz w:val="24"/>
          <w:szCs w:val="24"/>
        </w:rPr>
        <w:tab/>
        <w:t>Medi</w:t>
      </w:r>
      <w:bookmarkStart w:id="2" w:name="_GoBack"/>
      <w:bookmarkEnd w:id="2"/>
      <w:r>
        <w:rPr>
          <w:b/>
          <w:bCs/>
          <w:sz w:val="24"/>
          <w:szCs w:val="24"/>
        </w:rPr>
        <w:t xml:space="preserve">aTek Inc., </w:t>
      </w:r>
      <w:r w:rsidRPr="00E57D11">
        <w:rPr>
          <w:b/>
          <w:bCs/>
          <w:sz w:val="24"/>
          <w:szCs w:val="24"/>
        </w:rPr>
        <w:t>NTT DOCOMO, INC.</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053C07">
        <w:rPr>
          <w:b/>
          <w:bCs/>
          <w:sz w:val="24"/>
          <w:szCs w:val="24"/>
        </w:rPr>
        <w:t xml:space="preserve">Clarification on </w:t>
      </w:r>
      <w:r w:rsidR="00053C07" w:rsidRPr="00053C07">
        <w:rPr>
          <w:b/>
          <w:bCs/>
          <w:sz w:val="24"/>
          <w:szCs w:val="24"/>
        </w:rPr>
        <w:t>useServingCellTimingForSync</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611FCD" w:rsidRPr="00341A87" w:rsidRDefault="00053C07" w:rsidP="005A0D71">
      <w:pPr>
        <w:jc w:val="both"/>
        <w:rPr>
          <w:lang w:eastAsia="zh-TW"/>
        </w:rPr>
      </w:pPr>
      <w:bookmarkStart w:id="3" w:name="OLE_LINK1"/>
      <w:bookmarkStart w:id="4" w:name="OLE_LINK2"/>
      <w:bookmarkStart w:id="5" w:name="OLE_LINK132"/>
      <w:bookmarkStart w:id="6" w:name="OLE_LINK133"/>
      <w:r>
        <w:rPr>
          <w:lang w:eastAsia="zh-TW"/>
        </w:rPr>
        <w:t xml:space="preserve">The RRC signaling </w:t>
      </w:r>
      <w:r w:rsidRPr="00FD0F37">
        <w:rPr>
          <w:i/>
          <w:lang w:eastAsia="zh-TW"/>
        </w:rPr>
        <w:t>useServingCellTimingForSync</w:t>
      </w:r>
      <w:r>
        <w:rPr>
          <w:lang w:eastAsia="zh-TW"/>
        </w:rPr>
        <w:t xml:space="preserve"> was first created by RAN1 and it was later re-used by RAN4 on the requirement of s</w:t>
      </w:r>
      <w:r w:rsidRPr="00053C07">
        <w:rPr>
          <w:lang w:eastAsia="zh-TW"/>
        </w:rPr>
        <w:t>cheduling availability of UE during intra-frequency measurements</w:t>
      </w:r>
      <w:r>
        <w:rPr>
          <w:lang w:eastAsia="zh-TW"/>
        </w:rPr>
        <w:t xml:space="preserve">. In this paper, we discuss the original </w:t>
      </w:r>
      <w:r w:rsidR="00A204FE">
        <w:rPr>
          <w:rFonts w:eastAsia="MS Mincho" w:hint="eastAsia"/>
          <w:lang w:eastAsia="ja-JP"/>
        </w:rPr>
        <w:t>intention</w:t>
      </w:r>
      <w:r w:rsidR="00A204FE">
        <w:rPr>
          <w:lang w:eastAsia="zh-TW"/>
        </w:rPr>
        <w:t xml:space="preserve"> </w:t>
      </w:r>
      <w:r>
        <w:rPr>
          <w:lang w:eastAsia="zh-TW"/>
        </w:rPr>
        <w:t xml:space="preserve">in RAN1 and the definition </w:t>
      </w:r>
      <w:r w:rsidR="00A204FE">
        <w:rPr>
          <w:rFonts w:eastAsia="MS Mincho" w:hint="eastAsia"/>
          <w:lang w:eastAsia="ja-JP"/>
        </w:rPr>
        <w:t xml:space="preserve">on the IE in terms of synchronization level </w:t>
      </w:r>
      <w:r>
        <w:rPr>
          <w:lang w:eastAsia="zh-TW"/>
        </w:rPr>
        <w:t xml:space="preserve">in RAN4. </w:t>
      </w:r>
    </w:p>
    <w:p w:rsidR="005917E4" w:rsidRPr="00341A87" w:rsidRDefault="00B07D53" w:rsidP="00D52DD6">
      <w:pPr>
        <w:pStyle w:val="1"/>
        <w:rPr>
          <w:rFonts w:asciiTheme="minorHAnsi" w:eastAsiaTheme="minorEastAsia" w:hAnsiTheme="minorHAnsi" w:cstheme="minorBidi"/>
          <w:sz w:val="22"/>
          <w:szCs w:val="22"/>
          <w:lang w:val="en-US"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764F85">
        <w:rPr>
          <w:rFonts w:ascii="Calibri" w:eastAsia="新細明體" w:hAnsi="Calibri" w:cs="Calibri"/>
          <w:b/>
          <w:sz w:val="24"/>
          <w:szCs w:val="24"/>
          <w:lang w:eastAsia="zh-TW"/>
        </w:rPr>
        <w:t>Discussion</w:t>
      </w:r>
    </w:p>
    <w:p w:rsidR="00902288" w:rsidRDefault="00B33F0F" w:rsidP="00E0623B">
      <w:pPr>
        <w:pStyle w:val="a5"/>
        <w:rPr>
          <w:rFonts w:asciiTheme="minorHAnsi" w:eastAsiaTheme="minorEastAsia" w:hAnsiTheme="minorHAnsi" w:cstheme="minorBidi"/>
          <w:b w:val="0"/>
          <w:sz w:val="22"/>
          <w:szCs w:val="22"/>
          <w:lang w:val="en-US" w:eastAsia="zh-TW"/>
        </w:rPr>
      </w:pPr>
      <w:r w:rsidRPr="00B33F0F">
        <w:rPr>
          <w:rFonts w:asciiTheme="minorHAnsi" w:eastAsiaTheme="minorEastAsia" w:hAnsiTheme="minorHAnsi" w:cstheme="minorBidi"/>
          <w:b w:val="0"/>
          <w:sz w:val="22"/>
          <w:szCs w:val="22"/>
          <w:lang w:val="en-US" w:eastAsia="zh-TW"/>
        </w:rPr>
        <w:t xml:space="preserve">In </w:t>
      </w:r>
      <w:r>
        <w:rPr>
          <w:rFonts w:asciiTheme="minorHAnsi" w:eastAsiaTheme="minorEastAsia" w:hAnsiTheme="minorHAnsi" w:cstheme="minorBidi"/>
          <w:b w:val="0"/>
          <w:sz w:val="22"/>
          <w:szCs w:val="22"/>
          <w:lang w:val="en-US" w:eastAsia="zh-TW"/>
        </w:rPr>
        <w:t>RAN1 NR#2 meeting, the following agreements were reached.</w:t>
      </w:r>
    </w:p>
    <w:tbl>
      <w:tblPr>
        <w:tblStyle w:val="ad"/>
        <w:tblW w:w="0" w:type="auto"/>
        <w:tblInd w:w="720" w:type="dxa"/>
        <w:tblLook w:val="04A0" w:firstRow="1" w:lastRow="0" w:firstColumn="1" w:lastColumn="0" w:noHBand="0" w:noVBand="1"/>
      </w:tblPr>
      <w:tblGrid>
        <w:gridCol w:w="9135"/>
      </w:tblGrid>
      <w:tr w:rsidR="00B33F0F" w:rsidTr="00B33F0F">
        <w:tc>
          <w:tcPr>
            <w:tcW w:w="9629" w:type="dxa"/>
          </w:tcPr>
          <w:p w:rsidR="00B33F0F" w:rsidRPr="00A55F83" w:rsidRDefault="00B33F0F" w:rsidP="00B33F0F">
            <w:pPr>
              <w:rPr>
                <w:rFonts w:eastAsia="MS Mincho"/>
                <w:b/>
                <w:u w:val="single"/>
                <w:lang w:eastAsia="ja-JP"/>
              </w:rPr>
            </w:pPr>
            <w:r w:rsidRPr="00C60428">
              <w:rPr>
                <w:rFonts w:eastAsia="MS Mincho" w:hint="eastAsia"/>
                <w:b/>
                <w:highlight w:val="green"/>
                <w:u w:val="single"/>
                <w:lang w:eastAsia="ja-JP"/>
              </w:rPr>
              <w:t>Agreements:</w:t>
            </w:r>
          </w:p>
          <w:p w:rsidR="00B33F0F" w:rsidRDefault="00B33F0F" w:rsidP="00B33F0F">
            <w:pPr>
              <w:numPr>
                <w:ilvl w:val="0"/>
                <w:numId w:val="45"/>
              </w:numPr>
              <w:rPr>
                <w:rFonts w:eastAsia="MS Mincho"/>
                <w:lang w:eastAsia="ja-JP"/>
              </w:rPr>
            </w:pPr>
            <w:r>
              <w:rPr>
                <w:rFonts w:eastAsia="MS Mincho" w:hint="eastAsia"/>
                <w:lang w:eastAsia="ja-JP"/>
              </w:rPr>
              <w:t>An</w:t>
            </w:r>
            <w:r w:rsidRPr="00407E68">
              <w:rPr>
                <w:rFonts w:eastAsia="MS Mincho" w:hint="eastAsia"/>
                <w:lang w:eastAsia="ja-JP"/>
              </w:rPr>
              <w:t xml:space="preserve"> indication </w:t>
            </w:r>
            <w:r>
              <w:rPr>
                <w:rFonts w:eastAsia="MS Mincho" w:hint="eastAsia"/>
                <w:lang w:eastAsia="ja-JP"/>
              </w:rPr>
              <w:t xml:space="preserve">related to the synchronization information </w:t>
            </w:r>
            <w:r w:rsidRPr="00407E68">
              <w:rPr>
                <w:rFonts w:eastAsia="MS Mincho" w:hint="eastAsia"/>
                <w:lang w:eastAsia="ja-JP"/>
              </w:rPr>
              <w:t xml:space="preserve">is </w:t>
            </w:r>
            <w:r>
              <w:rPr>
                <w:rFonts w:eastAsia="MS Mincho" w:hint="eastAsia"/>
                <w:lang w:eastAsia="ja-JP"/>
              </w:rPr>
              <w:t>provided to the UE</w:t>
            </w:r>
          </w:p>
          <w:p w:rsidR="00B33F0F" w:rsidRDefault="00B33F0F" w:rsidP="00B33F0F">
            <w:pPr>
              <w:numPr>
                <w:ilvl w:val="1"/>
                <w:numId w:val="45"/>
              </w:numPr>
              <w:rPr>
                <w:rFonts w:eastAsia="MS Mincho"/>
                <w:lang w:eastAsia="ja-JP"/>
              </w:rPr>
            </w:pPr>
            <w:r>
              <w:rPr>
                <w:rFonts w:eastAsia="MS Mincho" w:hint="eastAsia"/>
                <w:lang w:eastAsia="ja-JP"/>
              </w:rPr>
              <w:t>When there is the</w:t>
            </w:r>
            <w:r w:rsidRPr="00A55F83">
              <w:rPr>
                <w:rFonts w:eastAsia="MS Mincho" w:hint="eastAsia"/>
                <w:lang w:eastAsia="ja-JP"/>
              </w:rPr>
              <w:t xml:space="preserve"> indication for a carrier, UE can utilize serving cell timing to</w:t>
            </w:r>
            <w:r>
              <w:rPr>
                <w:rFonts w:eastAsia="MS Mincho" w:hint="eastAsia"/>
                <w:lang w:eastAsia="ja-JP"/>
              </w:rPr>
              <w:t xml:space="preserve"> derive the index of SS block transmitted by </w:t>
            </w:r>
            <w:r>
              <w:rPr>
                <w:rFonts w:eastAsia="MS Mincho"/>
                <w:lang w:eastAsia="ja-JP"/>
              </w:rPr>
              <w:t>neighbour</w:t>
            </w:r>
            <w:r>
              <w:rPr>
                <w:rFonts w:eastAsia="MS Mincho" w:hint="eastAsia"/>
                <w:lang w:eastAsia="ja-JP"/>
              </w:rPr>
              <w:t xml:space="preserve"> cell (e.g., radio frame or SFN or symbol level synchronization)</w:t>
            </w:r>
          </w:p>
          <w:p w:rsidR="00B33F0F" w:rsidRPr="009A076B" w:rsidRDefault="00B33F0F" w:rsidP="00B33F0F">
            <w:pPr>
              <w:numPr>
                <w:ilvl w:val="1"/>
                <w:numId w:val="45"/>
              </w:numPr>
              <w:rPr>
                <w:rFonts w:eastAsia="MS Mincho"/>
                <w:lang w:eastAsia="ja-JP"/>
              </w:rPr>
            </w:pPr>
            <w:r>
              <w:rPr>
                <w:rFonts w:eastAsia="MS Mincho" w:hint="eastAsia"/>
                <w:lang w:eastAsia="ja-JP"/>
              </w:rPr>
              <w:t xml:space="preserve">Note that it is up to </w:t>
            </w:r>
            <w:r>
              <w:rPr>
                <w:rFonts w:eastAsia="MS Mincho"/>
                <w:lang w:eastAsia="ja-JP"/>
              </w:rPr>
              <w:t xml:space="preserve">RAN2 </w:t>
            </w:r>
            <w:r>
              <w:rPr>
                <w:rFonts w:eastAsia="MS Mincho" w:hint="eastAsia"/>
                <w:lang w:eastAsia="ja-JP"/>
              </w:rPr>
              <w:t>how to provide this indication</w:t>
            </w:r>
          </w:p>
          <w:p w:rsidR="00B33F0F" w:rsidRDefault="00B33F0F" w:rsidP="00B33F0F">
            <w:pPr>
              <w:numPr>
                <w:ilvl w:val="1"/>
                <w:numId w:val="45"/>
              </w:numPr>
              <w:rPr>
                <w:lang w:eastAsia="zh-TW"/>
              </w:rPr>
            </w:pPr>
            <w:r>
              <w:rPr>
                <w:rFonts w:eastAsia="MS Mincho" w:hint="eastAsia"/>
                <w:lang w:eastAsia="ja-JP"/>
              </w:rPr>
              <w:t>Note that it is up to RAN4 about the feasibility of synchronization and its requirement</w:t>
            </w:r>
          </w:p>
        </w:tc>
      </w:tr>
    </w:tbl>
    <w:p w:rsidR="00B33F0F" w:rsidRDefault="00B33F0F" w:rsidP="00B33F0F">
      <w:pPr>
        <w:rPr>
          <w:lang w:eastAsia="zh-TW"/>
        </w:rPr>
      </w:pPr>
    </w:p>
    <w:p w:rsidR="004C0E39" w:rsidRDefault="004C0E39" w:rsidP="004C0E39">
      <w:pPr>
        <w:jc w:val="both"/>
        <w:rPr>
          <w:rFonts w:eastAsia="MS Mincho"/>
          <w:lang w:val="en-GB" w:eastAsia="ja-JP"/>
        </w:rPr>
      </w:pPr>
      <w:r>
        <w:rPr>
          <w:lang w:eastAsia="zh-TW"/>
        </w:rPr>
        <w:t xml:space="preserve">From RAN1’s original design, the indication is to ease UE’s effort on decoding the PBCH of neighboring cell during measurement. It should be noted that RAN1 also agreed that RAN4 has the right to further discuss this indication regarding its </w:t>
      </w:r>
      <w:r>
        <w:rPr>
          <w:rFonts w:eastAsia="MS Mincho" w:hint="eastAsia"/>
          <w:lang w:eastAsia="ja-JP"/>
        </w:rPr>
        <w:t>feasibility of synchronization and requirement</w:t>
      </w:r>
      <w:r>
        <w:rPr>
          <w:rFonts w:eastAsia="MS Mincho"/>
          <w:lang w:eastAsia="ja-JP"/>
        </w:rPr>
        <w:t>.</w:t>
      </w:r>
      <w:r w:rsidR="00381B09">
        <w:rPr>
          <w:rFonts w:eastAsia="MS Mincho" w:hint="eastAsia"/>
          <w:lang w:eastAsia="ja-JP"/>
        </w:rPr>
        <w:t xml:space="preserve"> According to the above RAN1 agreements, RAN4 defines following condition to apply cell identification delay requirements without </w:t>
      </w:r>
      <w:r w:rsidR="00381B09" w:rsidRPr="00381B09">
        <w:rPr>
          <w:rFonts w:eastAsia="MS Mincho"/>
          <w:lang w:val="en-GB" w:eastAsia="ja-JP"/>
        </w:rPr>
        <w:t>time period used to acquire the index of the SSB</w:t>
      </w:r>
      <w:r w:rsidR="00A204FE">
        <w:rPr>
          <w:rFonts w:eastAsia="MS Mincho" w:hint="eastAsia"/>
          <w:lang w:val="en-GB" w:eastAsia="ja-JP"/>
        </w:rPr>
        <w:t xml:space="preserve"> in TS38.133.</w:t>
      </w:r>
    </w:p>
    <w:tbl>
      <w:tblPr>
        <w:tblStyle w:val="ad"/>
        <w:tblW w:w="0" w:type="auto"/>
        <w:tblInd w:w="720" w:type="dxa"/>
        <w:tblLook w:val="04A0" w:firstRow="1" w:lastRow="0" w:firstColumn="1" w:lastColumn="0" w:noHBand="0" w:noVBand="1"/>
      </w:tblPr>
      <w:tblGrid>
        <w:gridCol w:w="9135"/>
      </w:tblGrid>
      <w:tr w:rsidR="00A204FE" w:rsidTr="003C757D">
        <w:tc>
          <w:tcPr>
            <w:tcW w:w="9629" w:type="dxa"/>
          </w:tcPr>
          <w:p w:rsidR="00A204FE" w:rsidRDefault="00A204FE" w:rsidP="00A204FE">
            <w:pPr>
              <w:rPr>
                <w:lang w:eastAsia="zh-TW"/>
              </w:rPr>
            </w:pPr>
            <w:r w:rsidRPr="00A204FE">
              <w:rPr>
                <w:rFonts w:ascii="Times New Roman" w:eastAsia="SimSun" w:hAnsi="Times New Roman" w:cs="v4.2.0"/>
                <w:sz w:val="20"/>
                <w:szCs w:val="20"/>
                <w:lang w:val="en-GB" w:eastAsia="en-US"/>
              </w:rPr>
              <w:t xml:space="preserve">The UE shall be able to identify a </w:t>
            </w:r>
            <w:bookmarkStart w:id="7" w:name="OLE_LINK39"/>
            <w:r w:rsidRPr="00A204FE">
              <w:rPr>
                <w:rFonts w:ascii="Times New Roman" w:eastAsia="SimSun" w:hAnsi="Times New Roman" w:cs="v4.2.0"/>
                <w:sz w:val="20"/>
                <w:szCs w:val="20"/>
                <w:lang w:val="en-GB" w:eastAsia="en-US"/>
              </w:rPr>
              <w:t>new detectable intra frequency cell within T</w:t>
            </w:r>
            <w:r w:rsidRPr="00A204FE">
              <w:rPr>
                <w:rFonts w:ascii="Times New Roman" w:eastAsia="SimSun" w:hAnsi="Times New Roman" w:cs="v4.2.0"/>
                <w:sz w:val="20"/>
                <w:szCs w:val="20"/>
                <w:vertAlign w:val="subscript"/>
                <w:lang w:val="en-GB" w:eastAsia="en-US"/>
              </w:rPr>
              <w:t>identify_intra_without_</w:t>
            </w:r>
            <w:bookmarkEnd w:id="7"/>
            <w:r w:rsidRPr="00A204FE">
              <w:rPr>
                <w:rFonts w:ascii="Times New Roman" w:eastAsia="Malgun Gothic" w:hAnsi="Times New Roman" w:cs="v4.2.0" w:hint="eastAsia"/>
                <w:sz w:val="20"/>
                <w:szCs w:val="20"/>
                <w:vertAlign w:val="subscript"/>
                <w:lang w:val="en-GB" w:eastAsia="ko-KR"/>
              </w:rPr>
              <w:t>index</w:t>
            </w:r>
            <w:r w:rsidRPr="00A204FE">
              <w:rPr>
                <w:rFonts w:ascii="Times New Roman" w:eastAsia="SimSun" w:hAnsi="Times New Roman" w:cs="v4.2.0"/>
                <w:sz w:val="20"/>
                <w:szCs w:val="20"/>
                <w:lang w:val="en-GB" w:eastAsia="en-US"/>
              </w:rPr>
              <w:t xml:space="preserve"> </w:t>
            </w:r>
            <w:r w:rsidRPr="00A204FE">
              <w:rPr>
                <w:rFonts w:ascii="Times New Roman" w:eastAsia="SimSun" w:hAnsi="Times New Roman" w:cs="Times New Roman"/>
                <w:sz w:val="20"/>
                <w:szCs w:val="20"/>
                <w:lang w:val="en-GB" w:eastAsia="en-US"/>
              </w:rPr>
              <w:t>if UE is not indicated to report SSB based RRM measurement result with the associated SSB index</w:t>
            </w:r>
            <w:r w:rsidRPr="00A204FE">
              <w:rPr>
                <w:rFonts w:ascii="Times New Roman" w:eastAsia="SimSun" w:hAnsi="Times New Roman" w:cs="v4.2.0"/>
                <w:sz w:val="20"/>
                <w:szCs w:val="20"/>
                <w:lang w:val="en-GB" w:eastAsia="en-US"/>
              </w:rPr>
              <w:t xml:space="preserve">, or </w:t>
            </w:r>
            <w:r w:rsidRPr="00A204FE">
              <w:rPr>
                <w:rFonts w:ascii="Times New Roman" w:eastAsia="SimSun" w:hAnsi="Times New Roman" w:cs="v4.2.0"/>
                <w:sz w:val="20"/>
                <w:szCs w:val="20"/>
                <w:highlight w:val="yellow"/>
                <w:lang w:val="en-GB" w:eastAsia="en-US"/>
              </w:rPr>
              <w:t>the UE has been indicated that the neighbour cell is synchronous with the serving cell</w:t>
            </w:r>
            <w:r w:rsidRPr="00A204FE">
              <w:rPr>
                <w:rFonts w:ascii="Times New Roman" w:eastAsia="SimSun" w:hAnsi="Times New Roman" w:cs="v4.2.0"/>
                <w:sz w:val="20"/>
                <w:szCs w:val="20"/>
                <w:lang w:val="en-GB" w:eastAsia="en-US"/>
              </w:rPr>
              <w:t>. Otherwise UE shall be able to identify a new detectable intra frequency cell within T</w:t>
            </w:r>
            <w:r w:rsidRPr="00A204FE">
              <w:rPr>
                <w:rFonts w:ascii="Times New Roman" w:eastAsia="SimSun" w:hAnsi="Times New Roman" w:cs="v4.2.0"/>
                <w:sz w:val="20"/>
                <w:szCs w:val="20"/>
                <w:vertAlign w:val="subscript"/>
                <w:lang w:val="en-GB" w:eastAsia="en-US"/>
              </w:rPr>
              <w:t>identify_intra_with_index</w:t>
            </w:r>
            <w:r w:rsidRPr="00A204FE">
              <w:rPr>
                <w:rFonts w:ascii="Times New Roman" w:eastAsia="SimSun" w:hAnsi="Times New Roman" w:cs="Times New Roman" w:hint="eastAsia"/>
                <w:sz w:val="20"/>
                <w:szCs w:val="20"/>
                <w:lang w:val="en-GB"/>
              </w:rPr>
              <w:t>.</w:t>
            </w:r>
          </w:p>
        </w:tc>
      </w:tr>
    </w:tbl>
    <w:p w:rsidR="00A204FE" w:rsidRPr="00A204FE" w:rsidRDefault="00A204FE" w:rsidP="004C0E39">
      <w:pPr>
        <w:jc w:val="both"/>
        <w:rPr>
          <w:lang w:eastAsia="zh-TW"/>
        </w:rPr>
      </w:pPr>
    </w:p>
    <w:p w:rsidR="004C0E39" w:rsidRPr="00B33F0F" w:rsidRDefault="00B33F0F" w:rsidP="004C0E39">
      <w:pPr>
        <w:rPr>
          <w:lang w:eastAsia="zh-TW"/>
        </w:rPr>
      </w:pPr>
      <w:r>
        <w:rPr>
          <w:lang w:eastAsia="zh-TW"/>
        </w:rPr>
        <w:t>This indication is later</w:t>
      </w:r>
      <w:r w:rsidR="004C0E39">
        <w:rPr>
          <w:lang w:eastAsia="zh-TW"/>
        </w:rPr>
        <w:t xml:space="preserve"> called </w:t>
      </w:r>
      <w:r w:rsidR="004C0E39" w:rsidRPr="00FD0F37">
        <w:rPr>
          <w:i/>
          <w:lang w:eastAsia="zh-TW"/>
        </w:rPr>
        <w:t>useServingCellTimingForSync</w:t>
      </w:r>
      <w:r w:rsidR="004C0E39">
        <w:rPr>
          <w:lang w:eastAsia="zh-TW"/>
        </w:rPr>
        <w:t xml:space="preserve"> which is provided in measurement object </w:t>
      </w:r>
      <w:r>
        <w:rPr>
          <w:lang w:eastAsia="zh-TW"/>
        </w:rPr>
        <w:t>in the RRC signaling in TS38.331</w:t>
      </w:r>
      <w:r w:rsidR="004C0E39">
        <w:rPr>
          <w:lang w:eastAsia="zh-TW"/>
        </w:rPr>
        <w:t>.</w:t>
      </w:r>
      <w:r>
        <w:rPr>
          <w:lang w:eastAsia="zh-TW"/>
        </w:rPr>
        <w:t xml:space="preserve"> </w:t>
      </w:r>
    </w:p>
    <w:tbl>
      <w:tblPr>
        <w:tblStyle w:val="ad"/>
        <w:tblW w:w="0" w:type="auto"/>
        <w:tblInd w:w="720" w:type="dxa"/>
        <w:tblLook w:val="04A0" w:firstRow="1" w:lastRow="0" w:firstColumn="1" w:lastColumn="0" w:noHBand="0" w:noVBand="1"/>
      </w:tblPr>
      <w:tblGrid>
        <w:gridCol w:w="9135"/>
      </w:tblGrid>
      <w:tr w:rsidR="004C0E39" w:rsidTr="004C0E39">
        <w:tc>
          <w:tcPr>
            <w:tcW w:w="9629" w:type="dxa"/>
          </w:tcPr>
          <w:p w:rsidR="004C0E39" w:rsidRPr="00F35584" w:rsidRDefault="004C0E39" w:rsidP="004C0E39">
            <w:pPr>
              <w:pStyle w:val="PL"/>
            </w:pPr>
          </w:p>
          <w:p w:rsidR="004C0E39" w:rsidRPr="00F35584" w:rsidRDefault="004C0E39" w:rsidP="004C0E39">
            <w:pPr>
              <w:pStyle w:val="PL"/>
              <w:rPr>
                <w:color w:val="808080"/>
              </w:rPr>
            </w:pPr>
            <w:r w:rsidRPr="00F35584">
              <w:tab/>
            </w:r>
            <w:r w:rsidRPr="00F35584">
              <w:rPr>
                <w:color w:val="808080"/>
              </w:rPr>
              <w:t>-- Indicates whether the UE can utilize serving cell timing to derive the index of SS block transmitted by neighbour cell:</w:t>
            </w:r>
          </w:p>
          <w:p w:rsidR="004C0E39" w:rsidRDefault="004C0E39" w:rsidP="004C0E39">
            <w:pPr>
              <w:pStyle w:val="PL"/>
            </w:pPr>
            <w:r w:rsidRPr="00F35584">
              <w:tab/>
              <w:t>useServingCellTimingForSync</w:t>
            </w:r>
            <w:r w:rsidRPr="00F35584">
              <w:tab/>
            </w:r>
            <w:r w:rsidRPr="00F35584">
              <w:tab/>
            </w:r>
            <w:r w:rsidRPr="00F35584">
              <w:tab/>
            </w:r>
            <w:r w:rsidRPr="00F35584">
              <w:tab/>
            </w:r>
            <w:r w:rsidRPr="00F35584">
              <w:rPr>
                <w:color w:val="993366"/>
              </w:rPr>
              <w:t>BOOLEAN</w:t>
            </w:r>
            <w:r>
              <w:t>,</w:t>
            </w:r>
          </w:p>
        </w:tc>
      </w:tr>
    </w:tbl>
    <w:p w:rsidR="004C0E39" w:rsidRDefault="004C0E39" w:rsidP="004C0E39">
      <w:pPr>
        <w:rPr>
          <w:lang w:eastAsia="zh-TW"/>
        </w:rPr>
      </w:pPr>
    </w:p>
    <w:p w:rsidR="006132D2" w:rsidRPr="006132D2" w:rsidRDefault="006132D2" w:rsidP="006132D2">
      <w:pPr>
        <w:pStyle w:val="a5"/>
        <w:rPr>
          <w:lang w:val="en-US" w:eastAsia="zh-TW"/>
        </w:rPr>
      </w:pPr>
      <w:bookmarkStart w:id="8" w:name="_Ref513713604"/>
      <w:r>
        <w:t xml:space="preserve">Observation </w:t>
      </w:r>
      <w:r w:rsidR="009C5608">
        <w:fldChar w:fldCharType="begin"/>
      </w:r>
      <w:r w:rsidR="009C5608">
        <w:instrText xml:space="preserve"> SEQ Observation \* ARABIC </w:instrText>
      </w:r>
      <w:r w:rsidR="009C5608">
        <w:fldChar w:fldCharType="separate"/>
      </w:r>
      <w:r>
        <w:rPr>
          <w:noProof/>
        </w:rPr>
        <w:t>1</w:t>
      </w:r>
      <w:r w:rsidR="009C5608">
        <w:rPr>
          <w:noProof/>
        </w:rPr>
        <w:fldChar w:fldCharType="end"/>
      </w:r>
      <w:r>
        <w:rPr>
          <w:lang w:val="en-US"/>
        </w:rPr>
        <w:t xml:space="preserve">: The original RAN1 intention of introducing </w:t>
      </w:r>
      <w:r w:rsidRPr="006132D2">
        <w:rPr>
          <w:i/>
          <w:lang w:eastAsia="zh-TW"/>
        </w:rPr>
        <w:t>useServingCellTimingForSync</w:t>
      </w:r>
      <w:r>
        <w:rPr>
          <w:lang w:val="en-US" w:eastAsia="zh-TW"/>
        </w:rPr>
        <w:t xml:space="preserve"> was to </w:t>
      </w:r>
      <w:r>
        <w:rPr>
          <w:lang w:eastAsia="zh-TW"/>
        </w:rPr>
        <w:t>ease UE’s effort on decoding the PBCH of neighboring cell during measurement</w:t>
      </w:r>
      <w:bookmarkEnd w:id="8"/>
    </w:p>
    <w:p w:rsidR="006132D2" w:rsidRDefault="006132D2" w:rsidP="004C0E39">
      <w:pPr>
        <w:jc w:val="both"/>
        <w:rPr>
          <w:lang w:eastAsia="zh-TW"/>
        </w:rPr>
      </w:pPr>
    </w:p>
    <w:p w:rsidR="004C0E39" w:rsidRDefault="004C0E39" w:rsidP="004C0E39">
      <w:pPr>
        <w:jc w:val="both"/>
        <w:rPr>
          <w:lang w:eastAsia="zh-TW"/>
        </w:rPr>
      </w:pPr>
      <w:r>
        <w:rPr>
          <w:lang w:eastAsia="zh-TW"/>
        </w:rPr>
        <w:lastRenderedPageBreak/>
        <w:t xml:space="preserve">In general, if UE can use serving cell </w:t>
      </w:r>
      <w:r w:rsidR="00A204FE">
        <w:rPr>
          <w:rFonts w:eastAsia="MS Mincho" w:hint="eastAsia"/>
          <w:lang w:eastAsia="ja-JP"/>
        </w:rPr>
        <w:t>timing</w:t>
      </w:r>
      <w:r>
        <w:rPr>
          <w:lang w:eastAsia="zh-TW"/>
        </w:rPr>
        <w:t xml:space="preserve"> to derive the SSB time index for all cells in a frequency, it implicitly implies that these cells are already synchronous to one another under a certain level of tolerance.</w:t>
      </w:r>
      <w:r w:rsidR="002E5104">
        <w:rPr>
          <w:lang w:eastAsia="zh-TW"/>
        </w:rPr>
        <w:t xml:space="preserve"> A simple plot is provided to illustrate the issue </w:t>
      </w:r>
    </w:p>
    <w:p w:rsidR="004C0E39" w:rsidRDefault="00C86DF8" w:rsidP="002E5104">
      <w:pPr>
        <w:jc w:val="center"/>
        <w:rPr>
          <w:lang w:eastAsia="zh-TW"/>
        </w:rPr>
      </w:pPr>
      <w:r w:rsidRPr="00C86DF8">
        <w:rPr>
          <w:noProof/>
          <w:lang w:eastAsia="zh-TW"/>
        </w:rPr>
        <w:drawing>
          <wp:inline distT="0" distB="0" distL="0" distR="0">
            <wp:extent cx="4852493" cy="1911523"/>
            <wp:effectExtent l="0" t="0" r="571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3916" cy="1919962"/>
                    </a:xfrm>
                    <a:prstGeom prst="rect">
                      <a:avLst/>
                    </a:prstGeom>
                    <a:noFill/>
                    <a:ln>
                      <a:noFill/>
                    </a:ln>
                  </pic:spPr>
                </pic:pic>
              </a:graphicData>
            </a:graphic>
          </wp:inline>
        </w:drawing>
      </w:r>
    </w:p>
    <w:p w:rsidR="002E5104" w:rsidRPr="002E5104" w:rsidRDefault="002E5104" w:rsidP="002E5104">
      <w:pPr>
        <w:pStyle w:val="a5"/>
        <w:jc w:val="center"/>
        <w:rPr>
          <w:lang w:val="en-US" w:eastAsia="zh-TW"/>
        </w:rPr>
      </w:pPr>
      <w:r>
        <w:t xml:space="preserve">Figure </w:t>
      </w:r>
      <w:r w:rsidR="009C5608">
        <w:fldChar w:fldCharType="begin"/>
      </w:r>
      <w:r w:rsidR="009C5608">
        <w:instrText xml:space="preserve"> SEQ Figure \* ARABIC </w:instrText>
      </w:r>
      <w:r w:rsidR="009C5608">
        <w:fldChar w:fldCharType="separate"/>
      </w:r>
      <w:r>
        <w:rPr>
          <w:noProof/>
        </w:rPr>
        <w:t>1</w:t>
      </w:r>
      <w:r w:rsidR="009C5608">
        <w:rPr>
          <w:noProof/>
        </w:rPr>
        <w:fldChar w:fldCharType="end"/>
      </w:r>
      <w:r>
        <w:rPr>
          <w:lang w:val="en-US"/>
        </w:rPr>
        <w:t>:</w:t>
      </w:r>
      <w:r w:rsidRPr="002E5104">
        <w:rPr>
          <w:lang w:eastAsia="zh-TW"/>
        </w:rPr>
        <w:t xml:space="preserve"> </w:t>
      </w:r>
      <w:r>
        <w:rPr>
          <w:lang w:val="en-US" w:eastAsia="zh-TW"/>
        </w:rPr>
        <w:t xml:space="preserve">implication of synchronization level among cells in the same frequency with </w:t>
      </w:r>
      <w:r w:rsidRPr="00053C07">
        <w:rPr>
          <w:lang w:eastAsia="zh-TW"/>
        </w:rPr>
        <w:t>useServingCellTimingForSync</w:t>
      </w:r>
    </w:p>
    <w:p w:rsidR="002E5104" w:rsidRDefault="002E5104" w:rsidP="004C0E39">
      <w:pPr>
        <w:jc w:val="both"/>
        <w:rPr>
          <w:lang w:eastAsia="zh-TW"/>
        </w:rPr>
      </w:pPr>
    </w:p>
    <w:p w:rsidR="004C0E39" w:rsidRDefault="004C0E39" w:rsidP="004C0E39">
      <w:pPr>
        <w:jc w:val="both"/>
        <w:rPr>
          <w:lang w:eastAsia="zh-TW"/>
        </w:rPr>
      </w:pPr>
      <w:r>
        <w:rPr>
          <w:lang w:eastAsia="zh-TW"/>
        </w:rPr>
        <w:t>In previous RAN4 meetings, discussion on s</w:t>
      </w:r>
      <w:r w:rsidRPr="00053C07">
        <w:rPr>
          <w:lang w:eastAsia="zh-TW"/>
        </w:rPr>
        <w:t>cheduling availability of UE during intra-frequency measurements</w:t>
      </w:r>
      <w:r w:rsidR="00420359">
        <w:rPr>
          <w:lang w:eastAsia="zh-TW"/>
        </w:rPr>
        <w:t xml:space="preserve"> conclude</w:t>
      </w:r>
      <w:r w:rsidR="00042C42">
        <w:rPr>
          <w:rFonts w:eastAsia="MS Mincho" w:hint="eastAsia"/>
          <w:lang w:eastAsia="ja-JP"/>
        </w:rPr>
        <w:t>s</w:t>
      </w:r>
      <w:r w:rsidR="00420359">
        <w:rPr>
          <w:lang w:eastAsia="zh-TW"/>
        </w:rPr>
        <w:t xml:space="preserve"> that if </w:t>
      </w:r>
      <w:r w:rsidR="00420359" w:rsidRPr="00FD0F37">
        <w:rPr>
          <w:i/>
          <w:lang w:eastAsia="zh-TW"/>
        </w:rPr>
        <w:t>useServingCellTimingForSync</w:t>
      </w:r>
      <w:r w:rsidR="00420359">
        <w:rPr>
          <w:lang w:eastAsia="zh-TW"/>
        </w:rPr>
        <w:t xml:space="preserve"> is provided, UE can assume the OFDM symbols carrying SSB are in general aligned among all cells in the same frequency layer.</w:t>
      </w:r>
    </w:p>
    <w:tbl>
      <w:tblPr>
        <w:tblStyle w:val="ad"/>
        <w:tblW w:w="0" w:type="auto"/>
        <w:tblInd w:w="720" w:type="dxa"/>
        <w:tblLook w:val="04A0" w:firstRow="1" w:lastRow="0" w:firstColumn="1" w:lastColumn="0" w:noHBand="0" w:noVBand="1"/>
      </w:tblPr>
      <w:tblGrid>
        <w:gridCol w:w="9135"/>
      </w:tblGrid>
      <w:tr w:rsidR="00420359" w:rsidTr="00420359">
        <w:tc>
          <w:tcPr>
            <w:tcW w:w="9629" w:type="dxa"/>
          </w:tcPr>
          <w:p w:rsidR="00420359" w:rsidRPr="00D05241" w:rsidRDefault="00420359" w:rsidP="00420359">
            <w:r w:rsidRPr="00D05241">
              <w:t>For UE which support</w:t>
            </w:r>
            <w:r w:rsidRPr="00D05241">
              <w:rPr>
                <w:i/>
              </w:rPr>
              <w:t xml:space="preserve"> </w:t>
            </w:r>
            <w:r w:rsidRPr="00850D03">
              <w:rPr>
                <w:i/>
              </w:rPr>
              <w:t>simultaneousRxDataSSB-DiffNumerology</w:t>
            </w:r>
            <w:r>
              <w:rPr>
                <w:rFonts w:eastAsia="MS Mincho" w:hint="eastAsia"/>
                <w:i/>
                <w:lang w:eastAsia="ja-JP"/>
              </w:rPr>
              <w:t xml:space="preserve"> </w:t>
            </w:r>
            <w:r w:rsidRPr="00D05241">
              <w:t xml:space="preserve">[14] there are no restrictions on scheduling availability due to measurements. For UE which do not support </w:t>
            </w:r>
            <w:r w:rsidRPr="00850D03">
              <w:rPr>
                <w:i/>
              </w:rPr>
              <w:t>simultaneousRxDataSSB-DiffNumerology</w:t>
            </w:r>
            <w:r w:rsidRPr="00D05241" w:rsidDel="00850D03">
              <w:rPr>
                <w:i/>
              </w:rPr>
              <w:t xml:space="preserve"> </w:t>
            </w:r>
            <w:r w:rsidRPr="00D05241">
              <w:t>[14] the following restrictions apply due to SS-RSRP/RSRQ/SINR measurement</w:t>
            </w:r>
          </w:p>
          <w:p w:rsidR="00420359" w:rsidRDefault="00420359" w:rsidP="00420359">
            <w:pPr>
              <w:ind w:left="568" w:hanging="284"/>
              <w:rPr>
                <w:lang w:eastAsia="zh-TW"/>
              </w:rPr>
            </w:pPr>
            <w:r w:rsidRPr="00D05241">
              <w:t>-</w:t>
            </w:r>
            <w:r w:rsidRPr="00D05241">
              <w:tab/>
            </w:r>
            <w:r w:rsidRPr="00042C42">
              <w:rPr>
                <w:highlight w:val="yellow"/>
              </w:rPr>
              <w:t xml:space="preserve">If </w:t>
            </w:r>
            <w:r w:rsidRPr="00042C42">
              <w:rPr>
                <w:i/>
                <w:iCs/>
                <w:highlight w:val="yellow"/>
              </w:rPr>
              <w:t>useServingCellTimingForSync</w:t>
            </w:r>
            <w:r w:rsidRPr="00042C42">
              <w:rPr>
                <w:highlight w:val="yellow"/>
              </w:rPr>
              <w:t xml:space="preserve"> is enabled</w:t>
            </w:r>
            <w:r w:rsidRPr="00D05241">
              <w:t xml:space="preserve"> </w:t>
            </w:r>
            <w:bookmarkStart w:id="9" w:name="_Hlk507691153"/>
            <w:r w:rsidRPr="00D05241">
              <w:t xml:space="preserve">the UE is not expected to transmit PUCCH/PUSCH or receive PDCCH/PDSCH </w:t>
            </w:r>
            <w:bookmarkEnd w:id="9"/>
            <w:r w:rsidRPr="00D05241">
              <w:t xml:space="preserve">on SSB symbols to be measured, and on 1 data symbol before each consecutive SSB symbols and 1 data symbol after each consecutive SSB symbols within SMTC window duration </w:t>
            </w:r>
          </w:p>
        </w:tc>
      </w:tr>
    </w:tbl>
    <w:p w:rsidR="00420359" w:rsidRDefault="00420359" w:rsidP="00420359">
      <w:pPr>
        <w:jc w:val="both"/>
        <w:rPr>
          <w:lang w:eastAsia="zh-TW"/>
        </w:rPr>
      </w:pPr>
    </w:p>
    <w:p w:rsidR="006132D2" w:rsidRPr="006132D2" w:rsidRDefault="006132D2" w:rsidP="006132D2">
      <w:pPr>
        <w:pStyle w:val="a5"/>
        <w:jc w:val="both"/>
        <w:rPr>
          <w:lang w:val="en-US" w:eastAsia="zh-TW"/>
        </w:rPr>
      </w:pPr>
      <w:bookmarkStart w:id="10" w:name="_Ref513713606"/>
      <w:r>
        <w:t xml:space="preserve">Observation </w:t>
      </w:r>
      <w:r w:rsidR="009C5608">
        <w:fldChar w:fldCharType="begin"/>
      </w:r>
      <w:r w:rsidR="009C5608">
        <w:instrText xml:space="preserve"> SEQ Observation \* ARABIC </w:instrText>
      </w:r>
      <w:r w:rsidR="009C5608">
        <w:fldChar w:fldCharType="separate"/>
      </w:r>
      <w:r>
        <w:rPr>
          <w:noProof/>
        </w:rPr>
        <w:t>2</w:t>
      </w:r>
      <w:r w:rsidR="009C5608">
        <w:rPr>
          <w:noProof/>
        </w:rPr>
        <w:fldChar w:fldCharType="end"/>
      </w:r>
      <w:r>
        <w:rPr>
          <w:lang w:val="en-US"/>
        </w:rPr>
        <w:t xml:space="preserve">: The signaling </w:t>
      </w:r>
      <w:r w:rsidRPr="006132D2">
        <w:rPr>
          <w:i/>
          <w:lang w:eastAsia="zh-TW"/>
        </w:rPr>
        <w:t>useServingCellTimingForSync</w:t>
      </w:r>
      <w:r>
        <w:rPr>
          <w:lang w:val="en-US" w:eastAsia="zh-TW"/>
        </w:rPr>
        <w:t xml:space="preserve"> was later used by RAN4 for the requirement of </w:t>
      </w:r>
      <w:r>
        <w:rPr>
          <w:lang w:eastAsia="zh-TW"/>
        </w:rPr>
        <w:t>s</w:t>
      </w:r>
      <w:r w:rsidRPr="00053C07">
        <w:rPr>
          <w:lang w:eastAsia="zh-TW"/>
        </w:rPr>
        <w:t>cheduling availability</w:t>
      </w:r>
      <w:r>
        <w:rPr>
          <w:lang w:val="en-US" w:eastAsia="zh-TW"/>
        </w:rPr>
        <w:t xml:space="preserve"> with</w:t>
      </w:r>
      <w:r w:rsidR="008F57D4">
        <w:rPr>
          <w:lang w:val="en-US" w:eastAsia="zh-TW"/>
        </w:rPr>
        <w:t xml:space="preserve"> the implication of</w:t>
      </w:r>
      <w:r>
        <w:rPr>
          <w:lang w:val="en-US" w:eastAsia="zh-TW"/>
        </w:rPr>
        <w:t xml:space="preserve"> synchronization level for cells in the same</w:t>
      </w:r>
      <w:r w:rsidR="008F57D4">
        <w:rPr>
          <w:lang w:val="en-US" w:eastAsia="zh-TW"/>
        </w:rPr>
        <w:t xml:space="preserve"> frequency layer</w:t>
      </w:r>
      <w:r w:rsidR="007A5BA2">
        <w:rPr>
          <w:lang w:val="en-US" w:eastAsia="zh-TW"/>
        </w:rPr>
        <w:t>.</w:t>
      </w:r>
      <w:bookmarkEnd w:id="10"/>
    </w:p>
    <w:p w:rsidR="006132D2" w:rsidRDefault="006132D2" w:rsidP="00420359">
      <w:pPr>
        <w:jc w:val="both"/>
        <w:rPr>
          <w:lang w:eastAsia="zh-TW"/>
        </w:rPr>
      </w:pPr>
    </w:p>
    <w:p w:rsidR="00420359" w:rsidRDefault="00420359" w:rsidP="00A4162C">
      <w:pPr>
        <w:jc w:val="both"/>
        <w:rPr>
          <w:lang w:eastAsia="zh-TW"/>
        </w:rPr>
      </w:pPr>
      <w:r>
        <w:rPr>
          <w:lang w:eastAsia="zh-TW"/>
        </w:rPr>
        <w:t xml:space="preserve">In order to facilitate </w:t>
      </w:r>
      <w:r w:rsidR="00042C42">
        <w:rPr>
          <w:rFonts w:eastAsia="MS Mincho" w:hint="eastAsia"/>
          <w:lang w:eastAsia="ja-JP"/>
        </w:rPr>
        <w:t>appropriate</w:t>
      </w:r>
      <w:r w:rsidR="00042C42">
        <w:rPr>
          <w:lang w:eastAsia="zh-TW"/>
        </w:rPr>
        <w:t xml:space="preserve"> </w:t>
      </w:r>
      <w:r>
        <w:rPr>
          <w:lang w:eastAsia="zh-TW"/>
        </w:rPr>
        <w:t xml:space="preserve">UE assumption, the definition of </w:t>
      </w:r>
      <w:r w:rsidRPr="00D05241">
        <w:rPr>
          <w:i/>
          <w:iCs/>
        </w:rPr>
        <w:t>useServingCellTimingForSync</w:t>
      </w:r>
      <w:r w:rsidRPr="00420359">
        <w:rPr>
          <w:iCs/>
        </w:rPr>
        <w:t xml:space="preserve"> needs</w:t>
      </w:r>
      <w:r>
        <w:rPr>
          <w:lang w:eastAsia="zh-TW"/>
        </w:rPr>
        <w:t xml:space="preserve"> to be further clarified. Since SSB location</w:t>
      </w:r>
      <w:r w:rsidR="00042C42">
        <w:rPr>
          <w:rFonts w:eastAsia="MS Mincho" w:hint="eastAsia"/>
          <w:lang w:eastAsia="ja-JP"/>
        </w:rPr>
        <w:t xml:space="preserve"> for each SSB index </w:t>
      </w:r>
      <w:r>
        <w:rPr>
          <w:lang w:eastAsia="zh-TW"/>
        </w:rPr>
        <w:t xml:space="preserve">in time </w:t>
      </w:r>
      <w:r w:rsidR="00042C42">
        <w:rPr>
          <w:rFonts w:eastAsia="MS Mincho" w:hint="eastAsia"/>
          <w:lang w:eastAsia="ja-JP"/>
        </w:rPr>
        <w:t>is</w:t>
      </w:r>
      <w:r w:rsidR="00042C42">
        <w:rPr>
          <w:lang w:eastAsia="zh-TW"/>
        </w:rPr>
        <w:t xml:space="preserve"> </w:t>
      </w:r>
      <w:r>
        <w:rPr>
          <w:lang w:eastAsia="zh-TW"/>
        </w:rPr>
        <w:t xml:space="preserve">defined with a reference to the </w:t>
      </w:r>
      <w:r w:rsidR="00042C42">
        <w:rPr>
          <w:rFonts w:eastAsia="MS Mincho" w:hint="eastAsia"/>
          <w:lang w:eastAsia="ja-JP"/>
        </w:rPr>
        <w:t xml:space="preserve">half </w:t>
      </w:r>
      <w:r>
        <w:rPr>
          <w:lang w:eastAsia="zh-TW"/>
        </w:rPr>
        <w:t xml:space="preserve">frame boundary, at least </w:t>
      </w:r>
      <w:r w:rsidR="00042C42">
        <w:rPr>
          <w:rFonts w:eastAsia="MS Mincho" w:hint="eastAsia"/>
          <w:lang w:eastAsia="ja-JP"/>
        </w:rPr>
        <w:t xml:space="preserve">half </w:t>
      </w:r>
      <w:r>
        <w:rPr>
          <w:lang w:eastAsia="zh-TW"/>
        </w:rPr>
        <w:t xml:space="preserve">frame boundary should be aligned for all cells in the same frequency. </w:t>
      </w:r>
      <w:r w:rsidR="00042C42">
        <w:rPr>
          <w:rFonts w:eastAsia="MS Mincho" w:hint="eastAsia"/>
          <w:lang w:eastAsia="ja-JP"/>
        </w:rPr>
        <w:t xml:space="preserve">In addition, as there </w:t>
      </w:r>
      <w:r w:rsidR="00521BF5">
        <w:rPr>
          <w:rFonts w:eastAsia="MS Mincho" w:hint="eastAsia"/>
          <w:lang w:eastAsia="ja-JP"/>
        </w:rPr>
        <w:t>would</w:t>
      </w:r>
      <w:r w:rsidR="00042C42">
        <w:rPr>
          <w:rFonts w:eastAsia="MS Mincho" w:hint="eastAsia"/>
          <w:lang w:eastAsia="ja-JP"/>
        </w:rPr>
        <w:t xml:space="preserve"> be no benefit on NW operation with half frame </w:t>
      </w:r>
      <w:r w:rsidR="00521BF5">
        <w:rPr>
          <w:rFonts w:eastAsia="MS Mincho" w:hint="eastAsia"/>
          <w:lang w:eastAsia="ja-JP"/>
        </w:rPr>
        <w:t xml:space="preserve">(i.e., 5 ms) </w:t>
      </w:r>
      <w:r w:rsidR="00042C42">
        <w:rPr>
          <w:rFonts w:eastAsia="MS Mincho" w:hint="eastAsia"/>
          <w:lang w:eastAsia="ja-JP"/>
        </w:rPr>
        <w:t>shift</w:t>
      </w:r>
      <w:r w:rsidR="00521BF5">
        <w:rPr>
          <w:rFonts w:eastAsia="MS Mincho" w:hint="eastAsia"/>
          <w:lang w:eastAsia="ja-JP"/>
        </w:rPr>
        <w:t xml:space="preserve"> across cells, it is straightforward to assume frame boundary alignment across cells. If</w:t>
      </w:r>
      <w:r w:rsidR="00521BF5">
        <w:rPr>
          <w:lang w:eastAsia="zh-TW"/>
        </w:rPr>
        <w:t xml:space="preserve"> </w:t>
      </w:r>
      <w:r w:rsidR="00A4162C">
        <w:rPr>
          <w:lang w:eastAsia="zh-TW"/>
        </w:rPr>
        <w:t xml:space="preserve">the frame boundary is aligned, the half-frame, sub-frame, slot boundaries </w:t>
      </w:r>
      <w:r w:rsidR="00521BF5">
        <w:rPr>
          <w:rFonts w:eastAsia="MS Mincho" w:hint="eastAsia"/>
          <w:lang w:eastAsia="ja-JP"/>
        </w:rPr>
        <w:t>are</w:t>
      </w:r>
      <w:r w:rsidR="00521BF5">
        <w:rPr>
          <w:lang w:eastAsia="zh-TW"/>
        </w:rPr>
        <w:t xml:space="preserve"> </w:t>
      </w:r>
      <w:r w:rsidR="00A4162C">
        <w:rPr>
          <w:lang w:eastAsia="zh-TW"/>
        </w:rPr>
        <w:t xml:space="preserve">also aligned. </w:t>
      </w:r>
    </w:p>
    <w:p w:rsidR="00A4162C" w:rsidRDefault="00A4162C" w:rsidP="00A4162C">
      <w:pPr>
        <w:jc w:val="both"/>
        <w:rPr>
          <w:rFonts w:ascii="Arial" w:hAnsi="Arial" w:cs="Arial"/>
          <w:sz w:val="20"/>
          <w:szCs w:val="20"/>
          <w:lang w:eastAsia="ja-JP"/>
        </w:rPr>
      </w:pPr>
      <w:r>
        <w:rPr>
          <w:lang w:eastAsia="zh-TW"/>
        </w:rPr>
        <w:t xml:space="preserve">The symbol-level synchronization may need more consideration because the </w:t>
      </w:r>
      <w:r w:rsidR="004C29FC">
        <w:rPr>
          <w:lang w:eastAsia="zh-TW"/>
        </w:rPr>
        <w:t xml:space="preserve">symbol duration for high SCS </w:t>
      </w:r>
      <w:r w:rsidR="00521BF5">
        <w:rPr>
          <w:rFonts w:eastAsia="MS Mincho" w:hint="eastAsia"/>
          <w:lang w:eastAsia="ja-JP"/>
        </w:rPr>
        <w:t xml:space="preserve">such as 120kHz </w:t>
      </w:r>
      <w:r w:rsidR="004C29FC">
        <w:rPr>
          <w:lang w:eastAsia="zh-TW"/>
        </w:rPr>
        <w:t xml:space="preserve">could be smaller than 9us, as shown in </w:t>
      </w:r>
      <w:r w:rsidR="004C29FC">
        <w:rPr>
          <w:lang w:eastAsia="zh-TW"/>
        </w:rPr>
        <w:fldChar w:fldCharType="begin"/>
      </w:r>
      <w:r w:rsidR="004C29FC">
        <w:rPr>
          <w:lang w:eastAsia="zh-TW"/>
        </w:rPr>
        <w:instrText xml:space="preserve"> REF _Ref513713094 \h </w:instrText>
      </w:r>
      <w:r w:rsidR="004C29FC">
        <w:rPr>
          <w:lang w:eastAsia="zh-TW"/>
        </w:rPr>
      </w:r>
      <w:r w:rsidR="004C29FC">
        <w:rPr>
          <w:lang w:eastAsia="zh-TW"/>
        </w:rPr>
        <w:fldChar w:fldCharType="separate"/>
      </w:r>
      <w:r w:rsidR="004C29FC">
        <w:t xml:space="preserve">Table </w:t>
      </w:r>
      <w:r w:rsidR="004C29FC">
        <w:rPr>
          <w:noProof/>
        </w:rPr>
        <w:t>1</w:t>
      </w:r>
      <w:r w:rsidR="004C29FC">
        <w:rPr>
          <w:lang w:eastAsia="zh-TW"/>
        </w:rPr>
        <w:fldChar w:fldCharType="end"/>
      </w:r>
      <w:r w:rsidR="004C29FC">
        <w:rPr>
          <w:lang w:eastAsia="zh-TW"/>
        </w:rPr>
        <w:t>. To facilitate the UE assumption in s</w:t>
      </w:r>
      <w:r w:rsidR="004C29FC" w:rsidRPr="00053C07">
        <w:rPr>
          <w:lang w:eastAsia="zh-TW"/>
        </w:rPr>
        <w:t>cheduling availability</w:t>
      </w:r>
      <w:r w:rsidR="004C29FC">
        <w:rPr>
          <w:lang w:eastAsia="zh-TW"/>
        </w:rPr>
        <w:t xml:space="preserve">, we think the synchronization level should be limited in half OFDM symbol, considering both </w:t>
      </w:r>
      <w:r w:rsidR="004C29FC" w:rsidRPr="004C29FC">
        <w:rPr>
          <w:lang w:eastAsia="zh-TW"/>
        </w:rPr>
        <w:t xml:space="preserve">the </w:t>
      </w:r>
      <w:r w:rsidR="004C29FC" w:rsidRPr="004C29FC">
        <w:rPr>
          <w:rFonts w:ascii="Arial" w:hAnsi="Arial" w:cs="Arial"/>
          <w:sz w:val="20"/>
          <w:szCs w:val="20"/>
          <w:lang w:eastAsia="ja-JP"/>
        </w:rPr>
        <w:t>cell phase sync</w:t>
      </w:r>
      <w:r w:rsidR="00241812">
        <w:rPr>
          <w:rFonts w:ascii="Arial" w:hAnsi="Arial" w:cs="Arial"/>
          <w:sz w:val="20"/>
          <w:szCs w:val="20"/>
          <w:lang w:eastAsia="ja-JP"/>
        </w:rPr>
        <w:t>hronization error and</w:t>
      </w:r>
      <w:r w:rsidR="004C29FC" w:rsidRPr="004C29FC">
        <w:rPr>
          <w:rFonts w:ascii="Arial" w:hAnsi="Arial" w:cs="Arial"/>
          <w:sz w:val="20"/>
          <w:szCs w:val="20"/>
          <w:lang w:eastAsia="ja-JP"/>
        </w:rPr>
        <w:t xml:space="preserve"> propagation delay</w:t>
      </w:r>
      <w:r w:rsidR="004C29FC">
        <w:rPr>
          <w:rFonts w:ascii="Arial" w:hAnsi="Arial" w:cs="Arial"/>
          <w:sz w:val="20"/>
          <w:szCs w:val="20"/>
          <w:lang w:eastAsia="ja-JP"/>
        </w:rPr>
        <w:t xml:space="preserve"> to UE.</w:t>
      </w:r>
    </w:p>
    <w:p w:rsidR="004C29FC" w:rsidRPr="004C29FC" w:rsidRDefault="004C29FC" w:rsidP="00A4162C">
      <w:pPr>
        <w:jc w:val="both"/>
        <w:rPr>
          <w:lang w:eastAsia="zh-TW"/>
        </w:rPr>
      </w:pPr>
    </w:p>
    <w:p w:rsidR="00A4162C" w:rsidRPr="004C29FC" w:rsidRDefault="004C29FC" w:rsidP="004C29FC">
      <w:pPr>
        <w:pStyle w:val="a5"/>
        <w:jc w:val="center"/>
        <w:rPr>
          <w:lang w:val="en-US" w:eastAsia="zh-TW"/>
        </w:rPr>
      </w:pPr>
      <w:bookmarkStart w:id="11" w:name="_Ref513713094"/>
      <w:r>
        <w:t xml:space="preserve">Table </w:t>
      </w:r>
      <w:r w:rsidR="009C5608">
        <w:fldChar w:fldCharType="begin"/>
      </w:r>
      <w:r w:rsidR="009C5608">
        <w:instrText xml:space="preserve"> SEQ Table \* ARABIC </w:instrText>
      </w:r>
      <w:r w:rsidR="009C5608">
        <w:fldChar w:fldCharType="separate"/>
      </w:r>
      <w:r>
        <w:rPr>
          <w:noProof/>
        </w:rPr>
        <w:t>1</w:t>
      </w:r>
      <w:r w:rsidR="009C5608">
        <w:rPr>
          <w:noProof/>
        </w:rPr>
        <w:fldChar w:fldCharType="end"/>
      </w:r>
      <w:bookmarkEnd w:id="11"/>
      <w:r>
        <w:rPr>
          <w:lang w:val="en-US"/>
        </w:rPr>
        <w:t xml:space="preserve"> OFDM symbol lengths in different numerologies</w:t>
      </w:r>
    </w:p>
    <w:tbl>
      <w:tblPr>
        <w:tblStyle w:val="ad"/>
        <w:tblW w:w="0" w:type="auto"/>
        <w:jc w:val="center"/>
        <w:tblLook w:val="04A0" w:firstRow="1" w:lastRow="0" w:firstColumn="1" w:lastColumn="0" w:noHBand="0" w:noVBand="1"/>
      </w:tblPr>
      <w:tblGrid>
        <w:gridCol w:w="2547"/>
        <w:gridCol w:w="1296"/>
        <w:gridCol w:w="1438"/>
        <w:gridCol w:w="1438"/>
        <w:gridCol w:w="1438"/>
      </w:tblGrid>
      <w:tr w:rsidR="00A4162C" w:rsidRPr="00D5400B" w:rsidTr="00A4162C">
        <w:trPr>
          <w:jc w:val="center"/>
        </w:trPr>
        <w:tc>
          <w:tcPr>
            <w:tcW w:w="2547" w:type="dxa"/>
            <w:vMerge w:val="restart"/>
          </w:tcPr>
          <w:p w:rsidR="00A4162C" w:rsidRPr="00D5400B" w:rsidRDefault="00A4162C" w:rsidP="004F0199">
            <w:pPr>
              <w:pStyle w:val="af"/>
              <w:rPr>
                <w:sz w:val="22"/>
                <w:szCs w:val="22"/>
              </w:rPr>
            </w:pPr>
          </w:p>
        </w:tc>
        <w:tc>
          <w:tcPr>
            <w:tcW w:w="5610" w:type="dxa"/>
            <w:gridSpan w:val="4"/>
            <w:vAlign w:val="center"/>
          </w:tcPr>
          <w:p w:rsidR="00A4162C" w:rsidRPr="00D5400B" w:rsidRDefault="00A4162C" w:rsidP="00A4162C">
            <w:pPr>
              <w:jc w:val="center"/>
            </w:pPr>
            <w:r w:rsidRPr="00D5400B">
              <w:t>SCS</w:t>
            </w:r>
            <w:r>
              <w:t xml:space="preserve"> (KHz)</w:t>
            </w:r>
          </w:p>
        </w:tc>
      </w:tr>
      <w:tr w:rsidR="00A4162C" w:rsidRPr="00D5400B" w:rsidTr="00A4162C">
        <w:trPr>
          <w:jc w:val="center"/>
        </w:trPr>
        <w:tc>
          <w:tcPr>
            <w:tcW w:w="2547" w:type="dxa"/>
            <w:vMerge/>
          </w:tcPr>
          <w:p w:rsidR="00A4162C" w:rsidRPr="00D5400B" w:rsidRDefault="00A4162C" w:rsidP="00A4162C"/>
        </w:tc>
        <w:tc>
          <w:tcPr>
            <w:tcW w:w="1296" w:type="dxa"/>
          </w:tcPr>
          <w:p w:rsidR="00A4162C" w:rsidRPr="00D5400B" w:rsidRDefault="00A4162C" w:rsidP="00A4162C">
            <w:pPr>
              <w:jc w:val="center"/>
            </w:pPr>
            <w:r w:rsidRPr="00D5400B">
              <w:t>15</w:t>
            </w:r>
          </w:p>
        </w:tc>
        <w:tc>
          <w:tcPr>
            <w:tcW w:w="1438" w:type="dxa"/>
          </w:tcPr>
          <w:p w:rsidR="00A4162C" w:rsidRPr="00D5400B" w:rsidRDefault="00A4162C" w:rsidP="00A4162C">
            <w:pPr>
              <w:jc w:val="center"/>
            </w:pPr>
            <w:r w:rsidRPr="00D5400B">
              <w:t>30</w:t>
            </w:r>
          </w:p>
        </w:tc>
        <w:tc>
          <w:tcPr>
            <w:tcW w:w="1438" w:type="dxa"/>
          </w:tcPr>
          <w:p w:rsidR="00A4162C" w:rsidRPr="00D5400B" w:rsidRDefault="00A4162C" w:rsidP="00A4162C">
            <w:pPr>
              <w:jc w:val="center"/>
            </w:pPr>
            <w:r w:rsidRPr="00D5400B">
              <w:t>60</w:t>
            </w:r>
          </w:p>
        </w:tc>
        <w:tc>
          <w:tcPr>
            <w:tcW w:w="1438" w:type="dxa"/>
          </w:tcPr>
          <w:p w:rsidR="00A4162C" w:rsidRPr="00A4162C" w:rsidRDefault="00A4162C" w:rsidP="00A4162C">
            <w:pPr>
              <w:jc w:val="center"/>
            </w:pPr>
            <w:r w:rsidRPr="00A4162C">
              <w:t>120</w:t>
            </w:r>
          </w:p>
        </w:tc>
      </w:tr>
      <w:tr w:rsidR="00A4162C" w:rsidRPr="00D5400B" w:rsidTr="00A4162C">
        <w:trPr>
          <w:jc w:val="center"/>
        </w:trPr>
        <w:tc>
          <w:tcPr>
            <w:tcW w:w="2547" w:type="dxa"/>
          </w:tcPr>
          <w:p w:rsidR="00A4162C" w:rsidRPr="00D5400B" w:rsidRDefault="00A4162C" w:rsidP="00A4162C">
            <w:r w:rsidRPr="00D5400B">
              <w:t>Symbol + CP duration</w:t>
            </w:r>
            <w:r>
              <w:t xml:space="preserve"> (us)</w:t>
            </w:r>
          </w:p>
        </w:tc>
        <w:tc>
          <w:tcPr>
            <w:tcW w:w="1296" w:type="dxa"/>
          </w:tcPr>
          <w:p w:rsidR="00A4162C" w:rsidRPr="00D5400B" w:rsidRDefault="00A4162C" w:rsidP="00A4162C">
            <w:pPr>
              <w:jc w:val="center"/>
            </w:pPr>
            <w:r w:rsidRPr="00D5400B">
              <w:t>71.35</w:t>
            </w:r>
          </w:p>
        </w:tc>
        <w:tc>
          <w:tcPr>
            <w:tcW w:w="1438" w:type="dxa"/>
          </w:tcPr>
          <w:p w:rsidR="00A4162C" w:rsidRPr="00D5400B" w:rsidRDefault="00A4162C" w:rsidP="00A4162C">
            <w:pPr>
              <w:jc w:val="center"/>
            </w:pPr>
            <w:r w:rsidRPr="00D5400B">
              <w:t>35.68</w:t>
            </w:r>
          </w:p>
        </w:tc>
        <w:tc>
          <w:tcPr>
            <w:tcW w:w="1438" w:type="dxa"/>
          </w:tcPr>
          <w:p w:rsidR="00A4162C" w:rsidRPr="00D5400B" w:rsidRDefault="00A4162C" w:rsidP="00A4162C">
            <w:pPr>
              <w:jc w:val="center"/>
            </w:pPr>
            <w:r w:rsidRPr="00D5400B">
              <w:t>17.84</w:t>
            </w:r>
          </w:p>
        </w:tc>
        <w:tc>
          <w:tcPr>
            <w:tcW w:w="1438" w:type="dxa"/>
          </w:tcPr>
          <w:p w:rsidR="00A4162C" w:rsidRPr="00A4162C" w:rsidRDefault="00A4162C" w:rsidP="00A4162C">
            <w:pPr>
              <w:jc w:val="center"/>
            </w:pPr>
            <w:r w:rsidRPr="00A4162C">
              <w:t>8.92</w:t>
            </w:r>
          </w:p>
        </w:tc>
      </w:tr>
      <w:tr w:rsidR="00A4162C" w:rsidRPr="00D5400B" w:rsidTr="00A4162C">
        <w:trPr>
          <w:jc w:val="center"/>
        </w:trPr>
        <w:tc>
          <w:tcPr>
            <w:tcW w:w="2547" w:type="dxa"/>
          </w:tcPr>
          <w:p w:rsidR="00A4162C" w:rsidRPr="00D5400B" w:rsidRDefault="00A4162C" w:rsidP="00A4162C">
            <w:r w:rsidRPr="00D5400B">
              <w:t>Symbol duration</w:t>
            </w:r>
            <w:r>
              <w:t xml:space="preserve"> (us)</w:t>
            </w:r>
          </w:p>
        </w:tc>
        <w:tc>
          <w:tcPr>
            <w:tcW w:w="1296" w:type="dxa"/>
          </w:tcPr>
          <w:p w:rsidR="00A4162C" w:rsidRPr="00D5400B" w:rsidRDefault="00A4162C" w:rsidP="00A4162C">
            <w:pPr>
              <w:jc w:val="center"/>
            </w:pPr>
            <w:r w:rsidRPr="00D5400B">
              <w:t>66.66</w:t>
            </w:r>
          </w:p>
        </w:tc>
        <w:tc>
          <w:tcPr>
            <w:tcW w:w="1438" w:type="dxa"/>
          </w:tcPr>
          <w:p w:rsidR="00A4162C" w:rsidRPr="00D5400B" w:rsidRDefault="00A4162C" w:rsidP="00A4162C">
            <w:pPr>
              <w:jc w:val="center"/>
            </w:pPr>
            <w:r w:rsidRPr="00D5400B">
              <w:t>33.33</w:t>
            </w:r>
          </w:p>
        </w:tc>
        <w:tc>
          <w:tcPr>
            <w:tcW w:w="1438" w:type="dxa"/>
          </w:tcPr>
          <w:p w:rsidR="00A4162C" w:rsidRPr="00D5400B" w:rsidRDefault="00A4162C" w:rsidP="00A4162C">
            <w:pPr>
              <w:jc w:val="center"/>
            </w:pPr>
            <w:r w:rsidRPr="00D5400B">
              <w:t>16.67</w:t>
            </w:r>
          </w:p>
        </w:tc>
        <w:tc>
          <w:tcPr>
            <w:tcW w:w="1438" w:type="dxa"/>
          </w:tcPr>
          <w:p w:rsidR="00A4162C" w:rsidRPr="00A4162C" w:rsidRDefault="00A4162C" w:rsidP="00A4162C">
            <w:pPr>
              <w:jc w:val="center"/>
            </w:pPr>
            <w:r w:rsidRPr="00A4162C">
              <w:t>8.33</w:t>
            </w:r>
          </w:p>
        </w:tc>
      </w:tr>
      <w:tr w:rsidR="00A4162C" w:rsidRPr="00D5400B" w:rsidTr="00A4162C">
        <w:trPr>
          <w:jc w:val="center"/>
        </w:trPr>
        <w:tc>
          <w:tcPr>
            <w:tcW w:w="2547" w:type="dxa"/>
          </w:tcPr>
          <w:p w:rsidR="00A4162C" w:rsidRPr="00D5400B" w:rsidRDefault="00A4162C" w:rsidP="00A4162C">
            <w:r w:rsidRPr="00D5400B">
              <w:t>CP length</w:t>
            </w:r>
            <w:r>
              <w:t xml:space="preserve"> (us)</w:t>
            </w:r>
          </w:p>
        </w:tc>
        <w:tc>
          <w:tcPr>
            <w:tcW w:w="1296" w:type="dxa"/>
          </w:tcPr>
          <w:p w:rsidR="00A4162C" w:rsidRPr="00D5400B" w:rsidRDefault="00A4162C" w:rsidP="00A4162C">
            <w:pPr>
              <w:jc w:val="center"/>
            </w:pPr>
            <w:r w:rsidRPr="00D5400B">
              <w:t>4.96</w:t>
            </w:r>
          </w:p>
        </w:tc>
        <w:tc>
          <w:tcPr>
            <w:tcW w:w="1438" w:type="dxa"/>
          </w:tcPr>
          <w:p w:rsidR="00A4162C" w:rsidRPr="00D5400B" w:rsidRDefault="00A4162C" w:rsidP="00A4162C">
            <w:pPr>
              <w:jc w:val="center"/>
            </w:pPr>
            <w:r w:rsidRPr="00D5400B">
              <w:t>2.34</w:t>
            </w:r>
          </w:p>
        </w:tc>
        <w:tc>
          <w:tcPr>
            <w:tcW w:w="1438" w:type="dxa"/>
          </w:tcPr>
          <w:p w:rsidR="00A4162C" w:rsidRPr="00D5400B" w:rsidRDefault="00A4162C" w:rsidP="00A4162C">
            <w:pPr>
              <w:jc w:val="center"/>
            </w:pPr>
            <w:r w:rsidRPr="00D5400B">
              <w:t>1.17</w:t>
            </w:r>
          </w:p>
        </w:tc>
        <w:tc>
          <w:tcPr>
            <w:tcW w:w="1438" w:type="dxa"/>
          </w:tcPr>
          <w:p w:rsidR="00A4162C" w:rsidRPr="00A4162C" w:rsidRDefault="00A4162C" w:rsidP="00A4162C">
            <w:pPr>
              <w:jc w:val="center"/>
            </w:pPr>
            <w:r w:rsidRPr="00A4162C">
              <w:t>0.59</w:t>
            </w:r>
          </w:p>
        </w:tc>
      </w:tr>
    </w:tbl>
    <w:p w:rsidR="00A4162C" w:rsidRDefault="00A4162C" w:rsidP="006132D2">
      <w:pPr>
        <w:rPr>
          <w:lang w:eastAsia="zh-TW"/>
        </w:rPr>
      </w:pPr>
    </w:p>
    <w:p w:rsidR="006132D2" w:rsidRPr="006132D2" w:rsidRDefault="006132D2" w:rsidP="009F302C">
      <w:pPr>
        <w:pStyle w:val="a5"/>
        <w:jc w:val="both"/>
        <w:rPr>
          <w:lang w:val="en-US" w:eastAsia="zh-TW"/>
        </w:rPr>
      </w:pPr>
      <w:bookmarkStart w:id="12" w:name="_Ref513713609"/>
      <w:r>
        <w:t xml:space="preserve">Proposal </w:t>
      </w:r>
      <w:r w:rsidR="009C5608">
        <w:fldChar w:fldCharType="begin"/>
      </w:r>
      <w:r w:rsidR="009C5608">
        <w:instrText xml:space="preserve"> SEQ Proposal \* ARABIC </w:instrText>
      </w:r>
      <w:r w:rsidR="009C5608">
        <w:fldChar w:fldCharType="separate"/>
      </w:r>
      <w:r>
        <w:rPr>
          <w:noProof/>
        </w:rPr>
        <w:t>1</w:t>
      </w:r>
      <w:r w:rsidR="009C5608">
        <w:rPr>
          <w:noProof/>
        </w:rPr>
        <w:fldChar w:fldCharType="end"/>
      </w:r>
      <w:r>
        <w:rPr>
          <w:lang w:val="en-US"/>
        </w:rPr>
        <w:t xml:space="preserve">: When </w:t>
      </w:r>
      <w:r w:rsidRPr="006132D2">
        <w:rPr>
          <w:i/>
          <w:lang w:val="en-US"/>
        </w:rPr>
        <w:t>useServingCellTimingForSync</w:t>
      </w:r>
      <w:r w:rsidRPr="006132D2">
        <w:rPr>
          <w:lang w:val="en-US"/>
        </w:rPr>
        <w:t xml:space="preserve"> </w:t>
      </w:r>
      <w:r>
        <w:rPr>
          <w:lang w:val="en-US"/>
        </w:rPr>
        <w:t xml:space="preserve">is indicated, UE assume </w:t>
      </w:r>
      <w:r w:rsidRPr="006132D2">
        <w:rPr>
          <w:lang w:val="en-US"/>
        </w:rPr>
        <w:t>frame boundary alignment (inc</w:t>
      </w:r>
      <w:r>
        <w:rPr>
          <w:lang w:val="en-US"/>
        </w:rPr>
        <w:t>luding half frame/subframe/slot</w:t>
      </w:r>
      <w:r w:rsidRPr="006132D2">
        <w:rPr>
          <w:lang w:val="en-US"/>
        </w:rPr>
        <w:t xml:space="preserve"> boundary alignment) across cells on the same frequency carrier within a tolerance of </w:t>
      </w:r>
      <w:r>
        <w:rPr>
          <w:lang w:val="en-US"/>
        </w:rPr>
        <w:t>half OFDM symbol duration</w:t>
      </w:r>
      <w:r w:rsidRPr="006132D2">
        <w:rPr>
          <w:lang w:val="en-US"/>
        </w:rPr>
        <w:t>.</w:t>
      </w:r>
      <w:bookmarkEnd w:id="12"/>
    </w:p>
    <w:p w:rsidR="006132D2" w:rsidRDefault="006132D2" w:rsidP="006132D2">
      <w:pPr>
        <w:rPr>
          <w:lang w:eastAsia="zh-TW"/>
        </w:rPr>
      </w:pPr>
    </w:p>
    <w:p w:rsidR="006132D2" w:rsidRPr="006132D2" w:rsidRDefault="006132D2" w:rsidP="009F302C">
      <w:pPr>
        <w:pStyle w:val="a5"/>
        <w:jc w:val="both"/>
        <w:rPr>
          <w:lang w:val="en-US" w:eastAsia="zh-TW"/>
        </w:rPr>
      </w:pPr>
      <w:bookmarkStart w:id="13" w:name="_Ref513713613"/>
      <w:r>
        <w:t xml:space="preserve">Proposal </w:t>
      </w:r>
      <w:r w:rsidR="009C5608">
        <w:fldChar w:fldCharType="begin"/>
      </w:r>
      <w:r w:rsidR="009C5608">
        <w:instrText xml:space="preserve"> SEQ Proposal \* ARABIC </w:instrText>
      </w:r>
      <w:r w:rsidR="009C5608">
        <w:fldChar w:fldCharType="separate"/>
      </w:r>
      <w:r>
        <w:rPr>
          <w:noProof/>
        </w:rPr>
        <w:t>2</w:t>
      </w:r>
      <w:r w:rsidR="009C5608">
        <w:rPr>
          <w:noProof/>
        </w:rPr>
        <w:fldChar w:fldCharType="end"/>
      </w:r>
      <w:r>
        <w:rPr>
          <w:lang w:val="en-US"/>
        </w:rPr>
        <w:t xml:space="preserve">: Send an LS to RAN2 to update the definition of </w:t>
      </w:r>
      <w:r w:rsidRPr="006132D2">
        <w:rPr>
          <w:i/>
          <w:lang w:val="en-US"/>
        </w:rPr>
        <w:t>useServingCellTimingForSync</w:t>
      </w:r>
      <w:r>
        <w:rPr>
          <w:lang w:val="en-US"/>
        </w:rPr>
        <w:t>, based on RAN4 agreement.</w:t>
      </w:r>
      <w:bookmarkEnd w:id="13"/>
    </w:p>
    <w:p w:rsidR="00085372" w:rsidRDefault="000E004B"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AF27C3" w:rsidRDefault="00085372" w:rsidP="00AF27C3">
      <w:pPr>
        <w:jc w:val="both"/>
        <w:rPr>
          <w:lang w:eastAsia="zh-TW"/>
        </w:rPr>
      </w:pPr>
      <w:r w:rsidRPr="00E0623B">
        <w:rPr>
          <w:lang w:eastAsia="zh-TW"/>
        </w:rPr>
        <w:t>In the contribution,</w:t>
      </w:r>
      <w:bookmarkEnd w:id="0"/>
      <w:bookmarkEnd w:id="1"/>
      <w:bookmarkEnd w:id="3"/>
      <w:bookmarkEnd w:id="4"/>
      <w:bookmarkEnd w:id="5"/>
      <w:bookmarkEnd w:id="6"/>
      <w:r w:rsidR="00CB5FB6" w:rsidRPr="00E0623B">
        <w:rPr>
          <w:lang w:eastAsia="zh-TW"/>
        </w:rPr>
        <w:t xml:space="preserve"> </w:t>
      </w:r>
      <w:r w:rsidR="00043DC6">
        <w:rPr>
          <w:lang w:eastAsia="zh-TW"/>
        </w:rPr>
        <w:t xml:space="preserve">We discuss the RRC signaling </w:t>
      </w:r>
      <w:r w:rsidR="00043DC6" w:rsidRPr="00FD0F37">
        <w:rPr>
          <w:i/>
          <w:lang w:eastAsia="zh-TW"/>
        </w:rPr>
        <w:t>useServingCellTimingForSync</w:t>
      </w:r>
      <w:r w:rsidR="00043DC6">
        <w:rPr>
          <w:lang w:eastAsia="zh-TW"/>
        </w:rPr>
        <w:t xml:space="preserve"> which was first created by RAN1 and it was later re-used by RAN4 on the requirement of s</w:t>
      </w:r>
      <w:r w:rsidR="00043DC6" w:rsidRPr="00053C07">
        <w:rPr>
          <w:lang w:eastAsia="zh-TW"/>
        </w:rPr>
        <w:t>cheduling availability of UE during intra-frequency measurements</w:t>
      </w:r>
      <w:r w:rsidR="00043DC6">
        <w:rPr>
          <w:lang w:eastAsia="zh-TW"/>
        </w:rPr>
        <w:t xml:space="preserve">. </w:t>
      </w:r>
      <w:r w:rsidR="00902288" w:rsidRPr="00E0623B">
        <w:rPr>
          <w:lang w:eastAsia="zh-TW"/>
        </w:rPr>
        <w:t xml:space="preserve">We have the following </w:t>
      </w:r>
      <w:r w:rsidR="00043DC6">
        <w:rPr>
          <w:lang w:eastAsia="zh-TW"/>
        </w:rPr>
        <w:t xml:space="preserve">observations and </w:t>
      </w:r>
      <w:r w:rsidR="00902288" w:rsidRPr="00E0623B">
        <w:rPr>
          <w:lang w:eastAsia="zh-TW"/>
        </w:rPr>
        <w:t>proposals:</w:t>
      </w:r>
    </w:p>
    <w:p w:rsidR="00043DC6" w:rsidRPr="00043DC6" w:rsidRDefault="00043DC6" w:rsidP="00AF27C3">
      <w:pPr>
        <w:jc w:val="both"/>
        <w:rPr>
          <w:rFonts w:ascii="Times New Roman" w:eastAsia="SimSun" w:hAnsi="Times New Roman" w:cs="Times New Roman"/>
          <w:b/>
          <w:sz w:val="20"/>
          <w:szCs w:val="20"/>
          <w:lang w:eastAsia="x-none"/>
        </w:rPr>
      </w:pPr>
      <w:r w:rsidRPr="00043DC6">
        <w:rPr>
          <w:rFonts w:ascii="Times New Roman" w:eastAsia="SimSun" w:hAnsi="Times New Roman" w:cs="Times New Roman"/>
          <w:b/>
          <w:sz w:val="20"/>
          <w:szCs w:val="20"/>
          <w:lang w:eastAsia="x-none"/>
        </w:rPr>
        <w:fldChar w:fldCharType="begin"/>
      </w:r>
      <w:r w:rsidRPr="00043DC6">
        <w:rPr>
          <w:rFonts w:ascii="Times New Roman" w:eastAsia="SimSun" w:hAnsi="Times New Roman" w:cs="Times New Roman"/>
          <w:b/>
          <w:sz w:val="20"/>
          <w:szCs w:val="20"/>
          <w:lang w:eastAsia="x-none"/>
        </w:rPr>
        <w:instrText xml:space="preserve"> REF _Ref513713604 \h </w:instrText>
      </w:r>
      <w:r>
        <w:rPr>
          <w:rFonts w:ascii="Times New Roman" w:eastAsia="SimSun" w:hAnsi="Times New Roman" w:cs="Times New Roman"/>
          <w:b/>
          <w:sz w:val="20"/>
          <w:szCs w:val="20"/>
          <w:lang w:eastAsia="x-none"/>
        </w:rPr>
        <w:instrText xml:space="preserve"> \* MERGEFORMAT </w:instrText>
      </w:r>
      <w:r w:rsidRPr="00043DC6">
        <w:rPr>
          <w:rFonts w:ascii="Times New Roman" w:eastAsia="SimSun" w:hAnsi="Times New Roman" w:cs="Times New Roman"/>
          <w:b/>
          <w:sz w:val="20"/>
          <w:szCs w:val="20"/>
          <w:lang w:eastAsia="x-none"/>
        </w:rPr>
      </w:r>
      <w:r w:rsidRPr="00043DC6">
        <w:rPr>
          <w:rFonts w:ascii="Times New Roman" w:eastAsia="SimSun" w:hAnsi="Times New Roman" w:cs="Times New Roman"/>
          <w:b/>
          <w:sz w:val="20"/>
          <w:szCs w:val="20"/>
          <w:lang w:eastAsia="x-none"/>
        </w:rPr>
        <w:fldChar w:fldCharType="separate"/>
      </w:r>
      <w:r w:rsidRPr="00043DC6">
        <w:rPr>
          <w:rFonts w:ascii="Times New Roman" w:eastAsia="SimSun" w:hAnsi="Times New Roman" w:cs="Times New Roman"/>
          <w:b/>
          <w:sz w:val="20"/>
          <w:szCs w:val="20"/>
          <w:lang w:eastAsia="x-none"/>
        </w:rPr>
        <w:t xml:space="preserve">Observation 1: The original RAN1 intention of introducing </w:t>
      </w:r>
      <w:r w:rsidRPr="00043DC6">
        <w:rPr>
          <w:rFonts w:ascii="Times New Roman" w:eastAsia="SimSun" w:hAnsi="Times New Roman" w:cs="Times New Roman"/>
          <w:b/>
          <w:i/>
          <w:sz w:val="20"/>
          <w:szCs w:val="20"/>
          <w:lang w:eastAsia="x-none"/>
        </w:rPr>
        <w:t>useServingCellTimingForSync</w:t>
      </w:r>
      <w:r w:rsidRPr="00043DC6">
        <w:rPr>
          <w:rFonts w:ascii="Times New Roman" w:eastAsia="SimSun" w:hAnsi="Times New Roman" w:cs="Times New Roman"/>
          <w:b/>
          <w:sz w:val="20"/>
          <w:szCs w:val="20"/>
          <w:lang w:eastAsia="x-none"/>
        </w:rPr>
        <w:t xml:space="preserve"> was to ease UE’s effort on decoding the PBCH of neighboring cell during measurement</w:t>
      </w:r>
      <w:r w:rsidRPr="00043DC6">
        <w:rPr>
          <w:rFonts w:ascii="Times New Roman" w:eastAsia="SimSun" w:hAnsi="Times New Roman" w:cs="Times New Roman"/>
          <w:b/>
          <w:sz w:val="20"/>
          <w:szCs w:val="20"/>
          <w:lang w:eastAsia="x-none"/>
        </w:rPr>
        <w:fldChar w:fldCharType="end"/>
      </w:r>
    </w:p>
    <w:p w:rsidR="00043DC6" w:rsidRPr="00043DC6" w:rsidRDefault="00043DC6" w:rsidP="00AF27C3">
      <w:pPr>
        <w:jc w:val="both"/>
        <w:rPr>
          <w:rFonts w:ascii="Times New Roman" w:eastAsia="SimSun" w:hAnsi="Times New Roman" w:cs="Times New Roman"/>
          <w:b/>
          <w:sz w:val="20"/>
          <w:szCs w:val="20"/>
          <w:lang w:eastAsia="x-none"/>
        </w:rPr>
      </w:pPr>
      <w:r w:rsidRPr="00043DC6">
        <w:rPr>
          <w:rFonts w:ascii="Times New Roman" w:eastAsia="SimSun" w:hAnsi="Times New Roman" w:cs="Times New Roman"/>
          <w:b/>
          <w:sz w:val="20"/>
          <w:szCs w:val="20"/>
          <w:lang w:eastAsia="x-none"/>
        </w:rPr>
        <w:fldChar w:fldCharType="begin"/>
      </w:r>
      <w:r w:rsidRPr="00043DC6">
        <w:rPr>
          <w:rFonts w:ascii="Times New Roman" w:eastAsia="SimSun" w:hAnsi="Times New Roman" w:cs="Times New Roman"/>
          <w:b/>
          <w:sz w:val="20"/>
          <w:szCs w:val="20"/>
          <w:lang w:eastAsia="x-none"/>
        </w:rPr>
        <w:instrText xml:space="preserve"> REF _Ref513713606 \h </w:instrText>
      </w:r>
      <w:r>
        <w:rPr>
          <w:rFonts w:ascii="Times New Roman" w:eastAsia="SimSun" w:hAnsi="Times New Roman" w:cs="Times New Roman"/>
          <w:b/>
          <w:sz w:val="20"/>
          <w:szCs w:val="20"/>
          <w:lang w:eastAsia="x-none"/>
        </w:rPr>
        <w:instrText xml:space="preserve"> \* MERGEFORMAT </w:instrText>
      </w:r>
      <w:r w:rsidRPr="00043DC6">
        <w:rPr>
          <w:rFonts w:ascii="Times New Roman" w:eastAsia="SimSun" w:hAnsi="Times New Roman" w:cs="Times New Roman"/>
          <w:b/>
          <w:sz w:val="20"/>
          <w:szCs w:val="20"/>
          <w:lang w:eastAsia="x-none"/>
        </w:rPr>
      </w:r>
      <w:r w:rsidRPr="00043DC6">
        <w:rPr>
          <w:rFonts w:ascii="Times New Roman" w:eastAsia="SimSun" w:hAnsi="Times New Roman" w:cs="Times New Roman"/>
          <w:b/>
          <w:sz w:val="20"/>
          <w:szCs w:val="20"/>
          <w:lang w:eastAsia="x-none"/>
        </w:rPr>
        <w:fldChar w:fldCharType="separate"/>
      </w:r>
      <w:r w:rsidR="00CB115B" w:rsidRPr="00CB115B">
        <w:rPr>
          <w:rFonts w:ascii="Times New Roman" w:eastAsia="SimSun" w:hAnsi="Times New Roman" w:cs="Times New Roman"/>
          <w:b/>
          <w:sz w:val="20"/>
          <w:szCs w:val="20"/>
          <w:lang w:eastAsia="x-none"/>
        </w:rPr>
        <w:t xml:space="preserve">Observation 2: The signaling </w:t>
      </w:r>
      <w:r w:rsidR="00CB115B" w:rsidRPr="00CB115B">
        <w:rPr>
          <w:rFonts w:ascii="Times New Roman" w:eastAsia="SimSun" w:hAnsi="Times New Roman" w:cs="Times New Roman"/>
          <w:b/>
          <w:i/>
          <w:sz w:val="20"/>
          <w:szCs w:val="20"/>
          <w:lang w:eastAsia="x-none"/>
        </w:rPr>
        <w:t>useServingCellTimingForSync</w:t>
      </w:r>
      <w:r w:rsidR="00CB115B" w:rsidRPr="00CB115B">
        <w:rPr>
          <w:rFonts w:ascii="Times New Roman" w:eastAsia="SimSun" w:hAnsi="Times New Roman" w:cs="Times New Roman"/>
          <w:b/>
          <w:sz w:val="20"/>
          <w:szCs w:val="20"/>
          <w:lang w:eastAsia="x-none"/>
        </w:rPr>
        <w:t xml:space="preserve"> was later used by RAN4 for the requirement of scheduling availability with the implication of synchronization level for cells in the same frequency layer.</w:t>
      </w:r>
      <w:r w:rsidRPr="00043DC6">
        <w:rPr>
          <w:rFonts w:ascii="Times New Roman" w:eastAsia="SimSun" w:hAnsi="Times New Roman" w:cs="Times New Roman"/>
          <w:b/>
          <w:sz w:val="20"/>
          <w:szCs w:val="20"/>
          <w:lang w:eastAsia="x-none"/>
        </w:rPr>
        <w:fldChar w:fldCharType="end"/>
      </w:r>
    </w:p>
    <w:p w:rsidR="00043DC6" w:rsidRPr="00043DC6" w:rsidRDefault="00043DC6" w:rsidP="00AF27C3">
      <w:pPr>
        <w:jc w:val="both"/>
        <w:rPr>
          <w:rFonts w:ascii="Times New Roman" w:eastAsia="SimSun" w:hAnsi="Times New Roman" w:cs="Times New Roman"/>
          <w:b/>
          <w:sz w:val="20"/>
          <w:szCs w:val="20"/>
          <w:lang w:eastAsia="x-none"/>
        </w:rPr>
      </w:pPr>
      <w:r w:rsidRPr="00043DC6">
        <w:rPr>
          <w:rFonts w:ascii="Times New Roman" w:eastAsia="SimSun" w:hAnsi="Times New Roman" w:cs="Times New Roman"/>
          <w:b/>
          <w:sz w:val="20"/>
          <w:szCs w:val="20"/>
          <w:lang w:eastAsia="x-none"/>
        </w:rPr>
        <w:fldChar w:fldCharType="begin"/>
      </w:r>
      <w:r w:rsidRPr="00043DC6">
        <w:rPr>
          <w:rFonts w:ascii="Times New Roman" w:eastAsia="SimSun" w:hAnsi="Times New Roman" w:cs="Times New Roman"/>
          <w:b/>
          <w:sz w:val="20"/>
          <w:szCs w:val="20"/>
          <w:lang w:eastAsia="x-none"/>
        </w:rPr>
        <w:instrText xml:space="preserve"> REF _Ref513713609 \h </w:instrText>
      </w:r>
      <w:r>
        <w:rPr>
          <w:rFonts w:ascii="Times New Roman" w:eastAsia="SimSun" w:hAnsi="Times New Roman" w:cs="Times New Roman"/>
          <w:b/>
          <w:sz w:val="20"/>
          <w:szCs w:val="20"/>
          <w:lang w:eastAsia="x-none"/>
        </w:rPr>
        <w:instrText xml:space="preserve"> \* MERGEFORMAT </w:instrText>
      </w:r>
      <w:r w:rsidRPr="00043DC6">
        <w:rPr>
          <w:rFonts w:ascii="Times New Roman" w:eastAsia="SimSun" w:hAnsi="Times New Roman" w:cs="Times New Roman"/>
          <w:b/>
          <w:sz w:val="20"/>
          <w:szCs w:val="20"/>
          <w:lang w:eastAsia="x-none"/>
        </w:rPr>
      </w:r>
      <w:r w:rsidRPr="00043DC6">
        <w:rPr>
          <w:rFonts w:ascii="Times New Roman" w:eastAsia="SimSun" w:hAnsi="Times New Roman" w:cs="Times New Roman"/>
          <w:b/>
          <w:sz w:val="20"/>
          <w:szCs w:val="20"/>
          <w:lang w:eastAsia="x-none"/>
        </w:rPr>
        <w:fldChar w:fldCharType="separate"/>
      </w:r>
      <w:r w:rsidRPr="00043DC6">
        <w:rPr>
          <w:rFonts w:ascii="Times New Roman" w:eastAsia="SimSun" w:hAnsi="Times New Roman" w:cs="Times New Roman"/>
          <w:b/>
          <w:sz w:val="20"/>
          <w:szCs w:val="20"/>
          <w:lang w:eastAsia="x-none"/>
        </w:rPr>
        <w:t xml:space="preserve">Proposal 1: When </w:t>
      </w:r>
      <w:r w:rsidRPr="00043DC6">
        <w:rPr>
          <w:rFonts w:ascii="Times New Roman" w:eastAsia="SimSun" w:hAnsi="Times New Roman" w:cs="Times New Roman"/>
          <w:b/>
          <w:i/>
          <w:sz w:val="20"/>
          <w:szCs w:val="20"/>
          <w:lang w:eastAsia="x-none"/>
        </w:rPr>
        <w:t>useServingCellTimingForSync</w:t>
      </w:r>
      <w:r w:rsidRPr="00043DC6">
        <w:rPr>
          <w:rFonts w:ascii="Times New Roman" w:eastAsia="SimSun" w:hAnsi="Times New Roman" w:cs="Times New Roman"/>
          <w:b/>
          <w:sz w:val="20"/>
          <w:szCs w:val="20"/>
          <w:lang w:eastAsia="x-none"/>
        </w:rPr>
        <w:t xml:space="preserve"> is indicated, UE assume frame boundary alignment (including half frame/subframe/slot boundary alignment) across cells on the same frequency carrier within a tolerance of half OFDM symbol duration.</w:t>
      </w:r>
      <w:r w:rsidRPr="00043DC6">
        <w:rPr>
          <w:rFonts w:ascii="Times New Roman" w:eastAsia="SimSun" w:hAnsi="Times New Roman" w:cs="Times New Roman"/>
          <w:b/>
          <w:sz w:val="20"/>
          <w:szCs w:val="20"/>
          <w:lang w:eastAsia="x-none"/>
        </w:rPr>
        <w:fldChar w:fldCharType="end"/>
      </w:r>
    </w:p>
    <w:p w:rsidR="00043DC6" w:rsidRPr="00043DC6" w:rsidRDefault="00043DC6" w:rsidP="00AF27C3">
      <w:pPr>
        <w:jc w:val="both"/>
        <w:rPr>
          <w:rFonts w:ascii="Times New Roman" w:eastAsia="SimSun" w:hAnsi="Times New Roman" w:cs="Times New Roman"/>
          <w:b/>
          <w:sz w:val="20"/>
          <w:szCs w:val="20"/>
          <w:lang w:eastAsia="x-none"/>
        </w:rPr>
      </w:pPr>
      <w:r w:rsidRPr="00043DC6">
        <w:rPr>
          <w:rFonts w:ascii="Times New Roman" w:eastAsia="SimSun" w:hAnsi="Times New Roman" w:cs="Times New Roman"/>
          <w:b/>
          <w:sz w:val="20"/>
          <w:szCs w:val="20"/>
          <w:lang w:eastAsia="x-none"/>
        </w:rPr>
        <w:fldChar w:fldCharType="begin"/>
      </w:r>
      <w:r w:rsidRPr="00043DC6">
        <w:rPr>
          <w:rFonts w:ascii="Times New Roman" w:eastAsia="SimSun" w:hAnsi="Times New Roman" w:cs="Times New Roman"/>
          <w:b/>
          <w:sz w:val="20"/>
          <w:szCs w:val="20"/>
          <w:lang w:eastAsia="x-none"/>
        </w:rPr>
        <w:instrText xml:space="preserve"> REF _Ref513713613 \h </w:instrText>
      </w:r>
      <w:r>
        <w:rPr>
          <w:rFonts w:ascii="Times New Roman" w:eastAsia="SimSun" w:hAnsi="Times New Roman" w:cs="Times New Roman"/>
          <w:b/>
          <w:sz w:val="20"/>
          <w:szCs w:val="20"/>
          <w:lang w:eastAsia="x-none"/>
        </w:rPr>
        <w:instrText xml:space="preserve"> \* MERGEFORMAT </w:instrText>
      </w:r>
      <w:r w:rsidRPr="00043DC6">
        <w:rPr>
          <w:rFonts w:ascii="Times New Roman" w:eastAsia="SimSun" w:hAnsi="Times New Roman" w:cs="Times New Roman"/>
          <w:b/>
          <w:sz w:val="20"/>
          <w:szCs w:val="20"/>
          <w:lang w:eastAsia="x-none"/>
        </w:rPr>
      </w:r>
      <w:r w:rsidRPr="00043DC6">
        <w:rPr>
          <w:rFonts w:ascii="Times New Roman" w:eastAsia="SimSun" w:hAnsi="Times New Roman" w:cs="Times New Roman"/>
          <w:b/>
          <w:sz w:val="20"/>
          <w:szCs w:val="20"/>
          <w:lang w:eastAsia="x-none"/>
        </w:rPr>
        <w:fldChar w:fldCharType="separate"/>
      </w:r>
      <w:r w:rsidRPr="00043DC6">
        <w:rPr>
          <w:rFonts w:ascii="Times New Roman" w:eastAsia="SimSun" w:hAnsi="Times New Roman" w:cs="Times New Roman"/>
          <w:b/>
          <w:sz w:val="20"/>
          <w:szCs w:val="20"/>
          <w:lang w:eastAsia="x-none"/>
        </w:rPr>
        <w:t xml:space="preserve">Proposal 2: Send an LS to RAN2 to update the definition of </w:t>
      </w:r>
      <w:r w:rsidRPr="00043DC6">
        <w:rPr>
          <w:rFonts w:ascii="Times New Roman" w:eastAsia="SimSun" w:hAnsi="Times New Roman" w:cs="Times New Roman"/>
          <w:b/>
          <w:i/>
          <w:sz w:val="20"/>
          <w:szCs w:val="20"/>
          <w:lang w:eastAsia="x-none"/>
        </w:rPr>
        <w:t>useServingCellTimingForSync</w:t>
      </w:r>
      <w:r w:rsidRPr="00043DC6">
        <w:rPr>
          <w:rFonts w:ascii="Times New Roman" w:eastAsia="SimSun" w:hAnsi="Times New Roman" w:cs="Times New Roman"/>
          <w:b/>
          <w:sz w:val="20"/>
          <w:szCs w:val="20"/>
          <w:lang w:eastAsia="x-none"/>
        </w:rPr>
        <w:t>, based on RAN4 agreement.</w:t>
      </w:r>
      <w:r w:rsidRPr="00043DC6">
        <w:rPr>
          <w:rFonts w:ascii="Times New Roman" w:eastAsia="SimSun" w:hAnsi="Times New Roman" w:cs="Times New Roman"/>
          <w:b/>
          <w:sz w:val="20"/>
          <w:szCs w:val="20"/>
          <w:lang w:eastAsia="x-none"/>
        </w:rPr>
        <w:fldChar w:fldCharType="end"/>
      </w:r>
    </w:p>
    <w:p w:rsidR="00AF7AA6" w:rsidRDefault="000E004B"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5C1753" w:rsidRPr="000A0C20" w:rsidRDefault="005C1753" w:rsidP="000A0C20">
      <w:pPr>
        <w:rPr>
          <w:lang w:eastAsia="zh-TW"/>
        </w:rPr>
      </w:pPr>
    </w:p>
    <w:sectPr w:rsidR="005C1753" w:rsidRPr="000A0C20"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ACE" w:rsidRDefault="00CA2ACE" w:rsidP="008B46F2">
      <w:pPr>
        <w:spacing w:after="0" w:line="240" w:lineRule="auto"/>
      </w:pPr>
      <w:r>
        <w:separator/>
      </w:r>
    </w:p>
  </w:endnote>
  <w:endnote w:type="continuationSeparator" w:id="0">
    <w:p w:rsidR="00CA2ACE" w:rsidRDefault="00CA2ACE"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ACE" w:rsidRDefault="00CA2ACE" w:rsidP="008B46F2">
      <w:pPr>
        <w:spacing w:after="0" w:line="240" w:lineRule="auto"/>
      </w:pPr>
      <w:r>
        <w:separator/>
      </w:r>
    </w:p>
  </w:footnote>
  <w:footnote w:type="continuationSeparator" w:id="0">
    <w:p w:rsidR="00CA2ACE" w:rsidRDefault="00CA2ACE"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F5DF5"/>
    <w:multiLevelType w:val="hybridMultilevel"/>
    <w:tmpl w:val="A372D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6" w15:restartNumberingAfterBreak="0">
    <w:nsid w:val="11F942A8"/>
    <w:multiLevelType w:val="hybridMultilevel"/>
    <w:tmpl w:val="BE4C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A47990"/>
    <w:multiLevelType w:val="hybridMultilevel"/>
    <w:tmpl w:val="AFDE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305999"/>
    <w:multiLevelType w:val="hybridMultilevel"/>
    <w:tmpl w:val="197AC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D475EC"/>
    <w:multiLevelType w:val="hybridMultilevel"/>
    <w:tmpl w:val="4E300F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223C2"/>
    <w:multiLevelType w:val="hybridMultilevel"/>
    <w:tmpl w:val="1520E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7"/>
  </w:num>
  <w:num w:numId="3">
    <w:abstractNumId w:val="26"/>
  </w:num>
  <w:num w:numId="4">
    <w:abstractNumId w:val="9"/>
  </w:num>
  <w:num w:numId="5">
    <w:abstractNumId w:val="39"/>
  </w:num>
  <w:num w:numId="6">
    <w:abstractNumId w:val="25"/>
  </w:num>
  <w:num w:numId="7">
    <w:abstractNumId w:val="31"/>
  </w:num>
  <w:num w:numId="8">
    <w:abstractNumId w:val="7"/>
  </w:num>
  <w:num w:numId="9">
    <w:abstractNumId w:val="17"/>
  </w:num>
  <w:num w:numId="10">
    <w:abstractNumId w:val="13"/>
  </w:num>
  <w:num w:numId="11">
    <w:abstractNumId w:val="11"/>
  </w:num>
  <w:num w:numId="12">
    <w:abstractNumId w:val="2"/>
  </w:num>
  <w:num w:numId="13">
    <w:abstractNumId w:val="8"/>
  </w:num>
  <w:num w:numId="14">
    <w:abstractNumId w:val="0"/>
  </w:num>
  <w:num w:numId="15">
    <w:abstractNumId w:val="16"/>
  </w:num>
  <w:num w:numId="16">
    <w:abstractNumId w:val="41"/>
  </w:num>
  <w:num w:numId="17">
    <w:abstractNumId w:val="24"/>
  </w:num>
  <w:num w:numId="18">
    <w:abstractNumId w:val="27"/>
  </w:num>
  <w:num w:numId="19">
    <w:abstractNumId w:val="15"/>
  </w:num>
  <w:num w:numId="20">
    <w:abstractNumId w:val="10"/>
  </w:num>
  <w:num w:numId="21">
    <w:abstractNumId w:val="35"/>
  </w:num>
  <w:num w:numId="22">
    <w:abstractNumId w:val="23"/>
  </w:num>
  <w:num w:numId="23">
    <w:abstractNumId w:val="42"/>
  </w:num>
  <w:num w:numId="24">
    <w:abstractNumId w:val="4"/>
  </w:num>
  <w:num w:numId="25">
    <w:abstractNumId w:val="34"/>
  </w:num>
  <w:num w:numId="26">
    <w:abstractNumId w:val="30"/>
  </w:num>
  <w:num w:numId="27">
    <w:abstractNumId w:val="14"/>
  </w:num>
  <w:num w:numId="28">
    <w:abstractNumId w:val="3"/>
  </w:num>
  <w:num w:numId="29">
    <w:abstractNumId w:val="20"/>
  </w:num>
  <w:num w:numId="30">
    <w:abstractNumId w:val="36"/>
  </w:num>
  <w:num w:numId="31">
    <w:abstractNumId w:val="29"/>
  </w:num>
  <w:num w:numId="32">
    <w:abstractNumId w:val="19"/>
  </w:num>
  <w:num w:numId="33">
    <w:abstractNumId w:val="40"/>
  </w:num>
  <w:num w:numId="34">
    <w:abstractNumId w:val="5"/>
  </w:num>
  <w:num w:numId="35">
    <w:abstractNumId w:val="44"/>
  </w:num>
  <w:num w:numId="36">
    <w:abstractNumId w:val="28"/>
  </w:num>
  <w:num w:numId="37">
    <w:abstractNumId w:val="18"/>
  </w:num>
  <w:num w:numId="38">
    <w:abstractNumId w:val="21"/>
  </w:num>
  <w:num w:numId="39">
    <w:abstractNumId w:val="6"/>
  </w:num>
  <w:num w:numId="40">
    <w:abstractNumId w:val="12"/>
  </w:num>
  <w:num w:numId="41">
    <w:abstractNumId w:val="1"/>
  </w:num>
  <w:num w:numId="42">
    <w:abstractNumId w:val="33"/>
  </w:num>
  <w:num w:numId="43">
    <w:abstractNumId w:val="43"/>
  </w:num>
  <w:num w:numId="44">
    <w:abstractNumId w:val="22"/>
  </w:num>
  <w:num w:numId="45">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Formatting/>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AF2"/>
    <w:rsid w:val="00001C4C"/>
    <w:rsid w:val="00003D39"/>
    <w:rsid w:val="00005F70"/>
    <w:rsid w:val="00005F93"/>
    <w:rsid w:val="000124A6"/>
    <w:rsid w:val="000200EB"/>
    <w:rsid w:val="00025E58"/>
    <w:rsid w:val="00040AE5"/>
    <w:rsid w:val="00042C42"/>
    <w:rsid w:val="00043DC6"/>
    <w:rsid w:val="00045178"/>
    <w:rsid w:val="0004581B"/>
    <w:rsid w:val="00052C73"/>
    <w:rsid w:val="00053C07"/>
    <w:rsid w:val="00053C66"/>
    <w:rsid w:val="00055B1C"/>
    <w:rsid w:val="000627DD"/>
    <w:rsid w:val="000629FD"/>
    <w:rsid w:val="00065A8B"/>
    <w:rsid w:val="00065C5F"/>
    <w:rsid w:val="00067FE4"/>
    <w:rsid w:val="0007461A"/>
    <w:rsid w:val="00074ACB"/>
    <w:rsid w:val="00075BFA"/>
    <w:rsid w:val="00076F85"/>
    <w:rsid w:val="00085372"/>
    <w:rsid w:val="00091660"/>
    <w:rsid w:val="0009445D"/>
    <w:rsid w:val="000946FA"/>
    <w:rsid w:val="00094D42"/>
    <w:rsid w:val="000952FD"/>
    <w:rsid w:val="000A0C20"/>
    <w:rsid w:val="000A7547"/>
    <w:rsid w:val="000B1D83"/>
    <w:rsid w:val="000B5696"/>
    <w:rsid w:val="000B6B00"/>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F364D"/>
    <w:rsid w:val="000F3DE0"/>
    <w:rsid w:val="000F3FCB"/>
    <w:rsid w:val="000F4C51"/>
    <w:rsid w:val="001009C1"/>
    <w:rsid w:val="001017DF"/>
    <w:rsid w:val="0010295D"/>
    <w:rsid w:val="00104301"/>
    <w:rsid w:val="001045F6"/>
    <w:rsid w:val="001053AF"/>
    <w:rsid w:val="001057E4"/>
    <w:rsid w:val="00106492"/>
    <w:rsid w:val="001102B8"/>
    <w:rsid w:val="0011370F"/>
    <w:rsid w:val="00117DFB"/>
    <w:rsid w:val="00122F51"/>
    <w:rsid w:val="001249B3"/>
    <w:rsid w:val="00124F09"/>
    <w:rsid w:val="00124FD2"/>
    <w:rsid w:val="00142A74"/>
    <w:rsid w:val="00143177"/>
    <w:rsid w:val="00143658"/>
    <w:rsid w:val="00150268"/>
    <w:rsid w:val="001507E0"/>
    <w:rsid w:val="00155773"/>
    <w:rsid w:val="00155941"/>
    <w:rsid w:val="00156F8D"/>
    <w:rsid w:val="00162F85"/>
    <w:rsid w:val="00164332"/>
    <w:rsid w:val="00172A0F"/>
    <w:rsid w:val="00173C94"/>
    <w:rsid w:val="00173F16"/>
    <w:rsid w:val="001740B4"/>
    <w:rsid w:val="00174345"/>
    <w:rsid w:val="00174F24"/>
    <w:rsid w:val="00175A7A"/>
    <w:rsid w:val="0018004A"/>
    <w:rsid w:val="001806FA"/>
    <w:rsid w:val="00182A76"/>
    <w:rsid w:val="00183ED8"/>
    <w:rsid w:val="001862A6"/>
    <w:rsid w:val="00186A61"/>
    <w:rsid w:val="00187218"/>
    <w:rsid w:val="00190C6C"/>
    <w:rsid w:val="001910FC"/>
    <w:rsid w:val="001916A4"/>
    <w:rsid w:val="00193C6C"/>
    <w:rsid w:val="0019455F"/>
    <w:rsid w:val="00194D12"/>
    <w:rsid w:val="00195D5F"/>
    <w:rsid w:val="00196DBD"/>
    <w:rsid w:val="001A0A87"/>
    <w:rsid w:val="001A4683"/>
    <w:rsid w:val="001A62A5"/>
    <w:rsid w:val="001B26DF"/>
    <w:rsid w:val="001B363A"/>
    <w:rsid w:val="001B579F"/>
    <w:rsid w:val="001C41AB"/>
    <w:rsid w:val="001C4BF2"/>
    <w:rsid w:val="001D257C"/>
    <w:rsid w:val="001E160E"/>
    <w:rsid w:val="001E5079"/>
    <w:rsid w:val="001E6A15"/>
    <w:rsid w:val="001E6B2B"/>
    <w:rsid w:val="001F2C71"/>
    <w:rsid w:val="001F3963"/>
    <w:rsid w:val="001F5CF3"/>
    <w:rsid w:val="001F70A4"/>
    <w:rsid w:val="00206812"/>
    <w:rsid w:val="00207312"/>
    <w:rsid w:val="00214420"/>
    <w:rsid w:val="00214F29"/>
    <w:rsid w:val="00214FB5"/>
    <w:rsid w:val="00216288"/>
    <w:rsid w:val="00221265"/>
    <w:rsid w:val="00221717"/>
    <w:rsid w:val="00222B9C"/>
    <w:rsid w:val="00227CB6"/>
    <w:rsid w:val="00235FBB"/>
    <w:rsid w:val="00236704"/>
    <w:rsid w:val="00236A9E"/>
    <w:rsid w:val="00241812"/>
    <w:rsid w:val="00241F11"/>
    <w:rsid w:val="00244433"/>
    <w:rsid w:val="00245616"/>
    <w:rsid w:val="00246BB9"/>
    <w:rsid w:val="00253F3D"/>
    <w:rsid w:val="00254DCC"/>
    <w:rsid w:val="00262C8C"/>
    <w:rsid w:val="002658F0"/>
    <w:rsid w:val="002659CF"/>
    <w:rsid w:val="00266B95"/>
    <w:rsid w:val="00266D5F"/>
    <w:rsid w:val="00271102"/>
    <w:rsid w:val="002720F6"/>
    <w:rsid w:val="00272668"/>
    <w:rsid w:val="0027621A"/>
    <w:rsid w:val="00282F42"/>
    <w:rsid w:val="00290EB5"/>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C7EC3"/>
    <w:rsid w:val="002D1433"/>
    <w:rsid w:val="002D2689"/>
    <w:rsid w:val="002D6067"/>
    <w:rsid w:val="002E221A"/>
    <w:rsid w:val="002E5104"/>
    <w:rsid w:val="002E6354"/>
    <w:rsid w:val="002E73B3"/>
    <w:rsid w:val="002E7C2F"/>
    <w:rsid w:val="002F01F6"/>
    <w:rsid w:val="002F275D"/>
    <w:rsid w:val="002F2F83"/>
    <w:rsid w:val="00300462"/>
    <w:rsid w:val="00300C80"/>
    <w:rsid w:val="00305ED6"/>
    <w:rsid w:val="0030640A"/>
    <w:rsid w:val="00307A6F"/>
    <w:rsid w:val="0031309E"/>
    <w:rsid w:val="00316805"/>
    <w:rsid w:val="00317CB3"/>
    <w:rsid w:val="00324B1E"/>
    <w:rsid w:val="00331B27"/>
    <w:rsid w:val="00332B16"/>
    <w:rsid w:val="00337EC4"/>
    <w:rsid w:val="00341A87"/>
    <w:rsid w:val="00341C80"/>
    <w:rsid w:val="00342262"/>
    <w:rsid w:val="0034272F"/>
    <w:rsid w:val="003502BE"/>
    <w:rsid w:val="00355C00"/>
    <w:rsid w:val="003572BA"/>
    <w:rsid w:val="00361114"/>
    <w:rsid w:val="003621EF"/>
    <w:rsid w:val="00370C57"/>
    <w:rsid w:val="003727B8"/>
    <w:rsid w:val="003732D8"/>
    <w:rsid w:val="003765A0"/>
    <w:rsid w:val="003779CD"/>
    <w:rsid w:val="00381B09"/>
    <w:rsid w:val="00384A15"/>
    <w:rsid w:val="00390F86"/>
    <w:rsid w:val="00394E39"/>
    <w:rsid w:val="00395315"/>
    <w:rsid w:val="003A0395"/>
    <w:rsid w:val="003A4FB1"/>
    <w:rsid w:val="003A6A7C"/>
    <w:rsid w:val="003B05A8"/>
    <w:rsid w:val="003B1631"/>
    <w:rsid w:val="003B1704"/>
    <w:rsid w:val="003B1FA5"/>
    <w:rsid w:val="003B4B0F"/>
    <w:rsid w:val="003C5132"/>
    <w:rsid w:val="003C7400"/>
    <w:rsid w:val="003D0253"/>
    <w:rsid w:val="003E3889"/>
    <w:rsid w:val="003E39ED"/>
    <w:rsid w:val="003F0E9A"/>
    <w:rsid w:val="003F4C52"/>
    <w:rsid w:val="003F69F7"/>
    <w:rsid w:val="00403ED0"/>
    <w:rsid w:val="00405966"/>
    <w:rsid w:val="004149C3"/>
    <w:rsid w:val="00416D77"/>
    <w:rsid w:val="00420359"/>
    <w:rsid w:val="00421D97"/>
    <w:rsid w:val="00421F6B"/>
    <w:rsid w:val="0042222E"/>
    <w:rsid w:val="00422B53"/>
    <w:rsid w:val="00426796"/>
    <w:rsid w:val="00427FD4"/>
    <w:rsid w:val="0043034F"/>
    <w:rsid w:val="00440799"/>
    <w:rsid w:val="00441291"/>
    <w:rsid w:val="0044171D"/>
    <w:rsid w:val="004426A6"/>
    <w:rsid w:val="00447C8A"/>
    <w:rsid w:val="00455FEC"/>
    <w:rsid w:val="0046132A"/>
    <w:rsid w:val="004640BA"/>
    <w:rsid w:val="00465DF6"/>
    <w:rsid w:val="00466D7F"/>
    <w:rsid w:val="00467337"/>
    <w:rsid w:val="00470794"/>
    <w:rsid w:val="00473805"/>
    <w:rsid w:val="00475200"/>
    <w:rsid w:val="00477D9F"/>
    <w:rsid w:val="00480E4C"/>
    <w:rsid w:val="004847BD"/>
    <w:rsid w:val="00487F0A"/>
    <w:rsid w:val="00494E74"/>
    <w:rsid w:val="00495B09"/>
    <w:rsid w:val="004969B7"/>
    <w:rsid w:val="004976C5"/>
    <w:rsid w:val="004977E2"/>
    <w:rsid w:val="004A5BF0"/>
    <w:rsid w:val="004A601B"/>
    <w:rsid w:val="004B1E26"/>
    <w:rsid w:val="004B2BFE"/>
    <w:rsid w:val="004C0E39"/>
    <w:rsid w:val="004C0E5F"/>
    <w:rsid w:val="004C1E3A"/>
    <w:rsid w:val="004C29FC"/>
    <w:rsid w:val="004C2AA5"/>
    <w:rsid w:val="004C64BD"/>
    <w:rsid w:val="004D04F9"/>
    <w:rsid w:val="004D05EF"/>
    <w:rsid w:val="004E09E4"/>
    <w:rsid w:val="004E3927"/>
    <w:rsid w:val="004E4887"/>
    <w:rsid w:val="004E4955"/>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1BF5"/>
    <w:rsid w:val="0052200C"/>
    <w:rsid w:val="005226D7"/>
    <w:rsid w:val="005266D0"/>
    <w:rsid w:val="005340C0"/>
    <w:rsid w:val="00535129"/>
    <w:rsid w:val="00535A2A"/>
    <w:rsid w:val="00537F65"/>
    <w:rsid w:val="005424C8"/>
    <w:rsid w:val="0054550E"/>
    <w:rsid w:val="00547527"/>
    <w:rsid w:val="005515B0"/>
    <w:rsid w:val="005568C5"/>
    <w:rsid w:val="00560D26"/>
    <w:rsid w:val="005722FF"/>
    <w:rsid w:val="005770DF"/>
    <w:rsid w:val="005806E2"/>
    <w:rsid w:val="00583831"/>
    <w:rsid w:val="005865DF"/>
    <w:rsid w:val="00587CCC"/>
    <w:rsid w:val="00590862"/>
    <w:rsid w:val="00590D9F"/>
    <w:rsid w:val="005917E4"/>
    <w:rsid w:val="00592813"/>
    <w:rsid w:val="00593B3B"/>
    <w:rsid w:val="005A0D71"/>
    <w:rsid w:val="005A15EA"/>
    <w:rsid w:val="005B1696"/>
    <w:rsid w:val="005B20E8"/>
    <w:rsid w:val="005B4374"/>
    <w:rsid w:val="005B57B2"/>
    <w:rsid w:val="005C1753"/>
    <w:rsid w:val="005C356C"/>
    <w:rsid w:val="005D2CD0"/>
    <w:rsid w:val="005D5851"/>
    <w:rsid w:val="005E232D"/>
    <w:rsid w:val="005E25B8"/>
    <w:rsid w:val="005E41E1"/>
    <w:rsid w:val="005F0967"/>
    <w:rsid w:val="00600F57"/>
    <w:rsid w:val="00602705"/>
    <w:rsid w:val="006032C0"/>
    <w:rsid w:val="006058DA"/>
    <w:rsid w:val="00611FCD"/>
    <w:rsid w:val="006132D2"/>
    <w:rsid w:val="00614A7D"/>
    <w:rsid w:val="00615773"/>
    <w:rsid w:val="00616A16"/>
    <w:rsid w:val="00621020"/>
    <w:rsid w:val="00622539"/>
    <w:rsid w:val="00627F05"/>
    <w:rsid w:val="00630C35"/>
    <w:rsid w:val="00631939"/>
    <w:rsid w:val="00632803"/>
    <w:rsid w:val="006354C0"/>
    <w:rsid w:val="006356AB"/>
    <w:rsid w:val="0063696C"/>
    <w:rsid w:val="00642708"/>
    <w:rsid w:val="00644D7A"/>
    <w:rsid w:val="006476E5"/>
    <w:rsid w:val="006502BE"/>
    <w:rsid w:val="006534DB"/>
    <w:rsid w:val="00655D3D"/>
    <w:rsid w:val="0066047D"/>
    <w:rsid w:val="00660484"/>
    <w:rsid w:val="006720CC"/>
    <w:rsid w:val="0067409D"/>
    <w:rsid w:val="00685F43"/>
    <w:rsid w:val="00691311"/>
    <w:rsid w:val="0069259D"/>
    <w:rsid w:val="00693CDA"/>
    <w:rsid w:val="006A33D4"/>
    <w:rsid w:val="006B047F"/>
    <w:rsid w:val="006B12DA"/>
    <w:rsid w:val="006B23B0"/>
    <w:rsid w:val="006B7556"/>
    <w:rsid w:val="006B76E4"/>
    <w:rsid w:val="006C02D2"/>
    <w:rsid w:val="006E0653"/>
    <w:rsid w:val="006E475D"/>
    <w:rsid w:val="006E4A33"/>
    <w:rsid w:val="006E7BFF"/>
    <w:rsid w:val="006F0BC7"/>
    <w:rsid w:val="006F4F34"/>
    <w:rsid w:val="006F5FDD"/>
    <w:rsid w:val="006F6D39"/>
    <w:rsid w:val="007022D6"/>
    <w:rsid w:val="007052A8"/>
    <w:rsid w:val="0070796B"/>
    <w:rsid w:val="00711365"/>
    <w:rsid w:val="00711956"/>
    <w:rsid w:val="007149D7"/>
    <w:rsid w:val="007166FE"/>
    <w:rsid w:val="00717CF8"/>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4F85"/>
    <w:rsid w:val="00766477"/>
    <w:rsid w:val="00772878"/>
    <w:rsid w:val="00781BA0"/>
    <w:rsid w:val="00791BDC"/>
    <w:rsid w:val="00797684"/>
    <w:rsid w:val="00797A38"/>
    <w:rsid w:val="00797CC0"/>
    <w:rsid w:val="007A2398"/>
    <w:rsid w:val="007A5BA2"/>
    <w:rsid w:val="007B5A95"/>
    <w:rsid w:val="007C2F19"/>
    <w:rsid w:val="007C4070"/>
    <w:rsid w:val="007C69DE"/>
    <w:rsid w:val="007D1446"/>
    <w:rsid w:val="007D18CF"/>
    <w:rsid w:val="007D55DB"/>
    <w:rsid w:val="007E2F64"/>
    <w:rsid w:val="007E4BA0"/>
    <w:rsid w:val="007E5F83"/>
    <w:rsid w:val="007E767B"/>
    <w:rsid w:val="007E7F43"/>
    <w:rsid w:val="007F2A0A"/>
    <w:rsid w:val="007F5938"/>
    <w:rsid w:val="007F71BA"/>
    <w:rsid w:val="0080175B"/>
    <w:rsid w:val="008123CF"/>
    <w:rsid w:val="00813580"/>
    <w:rsid w:val="00813ABA"/>
    <w:rsid w:val="00815528"/>
    <w:rsid w:val="00815FE4"/>
    <w:rsid w:val="0082275E"/>
    <w:rsid w:val="00823E1B"/>
    <w:rsid w:val="00825482"/>
    <w:rsid w:val="00826C44"/>
    <w:rsid w:val="0083043F"/>
    <w:rsid w:val="00831533"/>
    <w:rsid w:val="00833628"/>
    <w:rsid w:val="00836A2A"/>
    <w:rsid w:val="00840449"/>
    <w:rsid w:val="00843F23"/>
    <w:rsid w:val="00850DD6"/>
    <w:rsid w:val="00853AAE"/>
    <w:rsid w:val="00855608"/>
    <w:rsid w:val="00863843"/>
    <w:rsid w:val="00864158"/>
    <w:rsid w:val="00864F8E"/>
    <w:rsid w:val="00865E0A"/>
    <w:rsid w:val="008706E6"/>
    <w:rsid w:val="0087195F"/>
    <w:rsid w:val="00873DE4"/>
    <w:rsid w:val="008766EC"/>
    <w:rsid w:val="00880EA6"/>
    <w:rsid w:val="00881013"/>
    <w:rsid w:val="00885174"/>
    <w:rsid w:val="0089738D"/>
    <w:rsid w:val="008A2E28"/>
    <w:rsid w:val="008A4FC6"/>
    <w:rsid w:val="008A55AB"/>
    <w:rsid w:val="008B46F2"/>
    <w:rsid w:val="008B6D18"/>
    <w:rsid w:val="008B6FAF"/>
    <w:rsid w:val="008C0DCB"/>
    <w:rsid w:val="008C1AB9"/>
    <w:rsid w:val="008C77BE"/>
    <w:rsid w:val="008D096D"/>
    <w:rsid w:val="008D15E8"/>
    <w:rsid w:val="008D2B06"/>
    <w:rsid w:val="008D4ADB"/>
    <w:rsid w:val="008D6865"/>
    <w:rsid w:val="008D6910"/>
    <w:rsid w:val="008E5E49"/>
    <w:rsid w:val="008E7348"/>
    <w:rsid w:val="008E79FE"/>
    <w:rsid w:val="008F0B55"/>
    <w:rsid w:val="008F0C5C"/>
    <w:rsid w:val="008F4302"/>
    <w:rsid w:val="008F57D4"/>
    <w:rsid w:val="008F6051"/>
    <w:rsid w:val="00902288"/>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29"/>
    <w:rsid w:val="00946123"/>
    <w:rsid w:val="009473B5"/>
    <w:rsid w:val="00952D77"/>
    <w:rsid w:val="00953218"/>
    <w:rsid w:val="00955DF1"/>
    <w:rsid w:val="00965706"/>
    <w:rsid w:val="00966AA9"/>
    <w:rsid w:val="00970641"/>
    <w:rsid w:val="00973101"/>
    <w:rsid w:val="00973E36"/>
    <w:rsid w:val="00973FD5"/>
    <w:rsid w:val="009751FE"/>
    <w:rsid w:val="00975ED4"/>
    <w:rsid w:val="00976891"/>
    <w:rsid w:val="00980886"/>
    <w:rsid w:val="00980F7F"/>
    <w:rsid w:val="00982348"/>
    <w:rsid w:val="00983B93"/>
    <w:rsid w:val="00984229"/>
    <w:rsid w:val="00986658"/>
    <w:rsid w:val="0099092A"/>
    <w:rsid w:val="00993B5F"/>
    <w:rsid w:val="00994B39"/>
    <w:rsid w:val="0099518F"/>
    <w:rsid w:val="0099719B"/>
    <w:rsid w:val="0099768C"/>
    <w:rsid w:val="00997715"/>
    <w:rsid w:val="009A6AFB"/>
    <w:rsid w:val="009A6C3A"/>
    <w:rsid w:val="009B0893"/>
    <w:rsid w:val="009B2B02"/>
    <w:rsid w:val="009B6A2B"/>
    <w:rsid w:val="009B763C"/>
    <w:rsid w:val="009B7802"/>
    <w:rsid w:val="009B7969"/>
    <w:rsid w:val="009C5608"/>
    <w:rsid w:val="009C5E6C"/>
    <w:rsid w:val="009C60D6"/>
    <w:rsid w:val="009C68D1"/>
    <w:rsid w:val="009C7E8C"/>
    <w:rsid w:val="009D1B40"/>
    <w:rsid w:val="009D240B"/>
    <w:rsid w:val="009D414E"/>
    <w:rsid w:val="009E436A"/>
    <w:rsid w:val="009F0192"/>
    <w:rsid w:val="009F10E9"/>
    <w:rsid w:val="009F302C"/>
    <w:rsid w:val="009F53CF"/>
    <w:rsid w:val="009F5703"/>
    <w:rsid w:val="00A04A49"/>
    <w:rsid w:val="00A05924"/>
    <w:rsid w:val="00A10095"/>
    <w:rsid w:val="00A204FE"/>
    <w:rsid w:val="00A23B97"/>
    <w:rsid w:val="00A26621"/>
    <w:rsid w:val="00A335AF"/>
    <w:rsid w:val="00A37352"/>
    <w:rsid w:val="00A37F9F"/>
    <w:rsid w:val="00A40DA0"/>
    <w:rsid w:val="00A4162C"/>
    <w:rsid w:val="00A447ED"/>
    <w:rsid w:val="00A44DFE"/>
    <w:rsid w:val="00A501B7"/>
    <w:rsid w:val="00A5222D"/>
    <w:rsid w:val="00A52F2C"/>
    <w:rsid w:val="00A64D5D"/>
    <w:rsid w:val="00A70087"/>
    <w:rsid w:val="00A72E25"/>
    <w:rsid w:val="00A73AF2"/>
    <w:rsid w:val="00A82614"/>
    <w:rsid w:val="00A846B8"/>
    <w:rsid w:val="00A84C9A"/>
    <w:rsid w:val="00A87BDD"/>
    <w:rsid w:val="00A92FFF"/>
    <w:rsid w:val="00A96FBD"/>
    <w:rsid w:val="00A978FD"/>
    <w:rsid w:val="00AA0B75"/>
    <w:rsid w:val="00AA0C0B"/>
    <w:rsid w:val="00AA3734"/>
    <w:rsid w:val="00AA6CE0"/>
    <w:rsid w:val="00AB251C"/>
    <w:rsid w:val="00AB71FE"/>
    <w:rsid w:val="00AC1992"/>
    <w:rsid w:val="00AD001F"/>
    <w:rsid w:val="00AD065D"/>
    <w:rsid w:val="00AD573E"/>
    <w:rsid w:val="00AE0F46"/>
    <w:rsid w:val="00AE1E87"/>
    <w:rsid w:val="00AE4A22"/>
    <w:rsid w:val="00AE593E"/>
    <w:rsid w:val="00AE61E0"/>
    <w:rsid w:val="00AF1432"/>
    <w:rsid w:val="00AF1AAA"/>
    <w:rsid w:val="00AF1FA5"/>
    <w:rsid w:val="00AF27C3"/>
    <w:rsid w:val="00AF69B4"/>
    <w:rsid w:val="00AF7AA6"/>
    <w:rsid w:val="00AF7ED2"/>
    <w:rsid w:val="00B00CC3"/>
    <w:rsid w:val="00B0126F"/>
    <w:rsid w:val="00B050D7"/>
    <w:rsid w:val="00B0528E"/>
    <w:rsid w:val="00B0676F"/>
    <w:rsid w:val="00B07D53"/>
    <w:rsid w:val="00B10524"/>
    <w:rsid w:val="00B11B22"/>
    <w:rsid w:val="00B12A4A"/>
    <w:rsid w:val="00B145EC"/>
    <w:rsid w:val="00B17AEB"/>
    <w:rsid w:val="00B21CB0"/>
    <w:rsid w:val="00B246E4"/>
    <w:rsid w:val="00B2627D"/>
    <w:rsid w:val="00B32EA8"/>
    <w:rsid w:val="00B33F0F"/>
    <w:rsid w:val="00B37A9A"/>
    <w:rsid w:val="00B401F9"/>
    <w:rsid w:val="00B40C81"/>
    <w:rsid w:val="00B43F46"/>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2A4"/>
    <w:rsid w:val="00B7034D"/>
    <w:rsid w:val="00B7336F"/>
    <w:rsid w:val="00B73778"/>
    <w:rsid w:val="00B7650D"/>
    <w:rsid w:val="00B8131A"/>
    <w:rsid w:val="00B83762"/>
    <w:rsid w:val="00B85346"/>
    <w:rsid w:val="00B91413"/>
    <w:rsid w:val="00BA2682"/>
    <w:rsid w:val="00BA5637"/>
    <w:rsid w:val="00BA7C7D"/>
    <w:rsid w:val="00BB7226"/>
    <w:rsid w:val="00BB7D07"/>
    <w:rsid w:val="00BC037D"/>
    <w:rsid w:val="00BC4C1C"/>
    <w:rsid w:val="00BC62BA"/>
    <w:rsid w:val="00BC711D"/>
    <w:rsid w:val="00BD0219"/>
    <w:rsid w:val="00BD10B2"/>
    <w:rsid w:val="00BD1301"/>
    <w:rsid w:val="00BD1A8A"/>
    <w:rsid w:val="00BD6CC4"/>
    <w:rsid w:val="00BD7AB5"/>
    <w:rsid w:val="00BE10B7"/>
    <w:rsid w:val="00BE1DC2"/>
    <w:rsid w:val="00BE2AB6"/>
    <w:rsid w:val="00BE424C"/>
    <w:rsid w:val="00BE7450"/>
    <w:rsid w:val="00BE76FF"/>
    <w:rsid w:val="00C009F9"/>
    <w:rsid w:val="00C06792"/>
    <w:rsid w:val="00C1414C"/>
    <w:rsid w:val="00C17988"/>
    <w:rsid w:val="00C20C04"/>
    <w:rsid w:val="00C23DB6"/>
    <w:rsid w:val="00C23EB8"/>
    <w:rsid w:val="00C328AB"/>
    <w:rsid w:val="00C3475D"/>
    <w:rsid w:val="00C34D8E"/>
    <w:rsid w:val="00C41C6C"/>
    <w:rsid w:val="00C43876"/>
    <w:rsid w:val="00C449AA"/>
    <w:rsid w:val="00C457C6"/>
    <w:rsid w:val="00C46D5B"/>
    <w:rsid w:val="00C51E48"/>
    <w:rsid w:val="00C53920"/>
    <w:rsid w:val="00C630D1"/>
    <w:rsid w:val="00C63433"/>
    <w:rsid w:val="00C714B1"/>
    <w:rsid w:val="00C82393"/>
    <w:rsid w:val="00C82F7B"/>
    <w:rsid w:val="00C84C5E"/>
    <w:rsid w:val="00C85414"/>
    <w:rsid w:val="00C8562F"/>
    <w:rsid w:val="00C86DF8"/>
    <w:rsid w:val="00C91CE2"/>
    <w:rsid w:val="00C956FD"/>
    <w:rsid w:val="00C9616D"/>
    <w:rsid w:val="00C97EC6"/>
    <w:rsid w:val="00CA2000"/>
    <w:rsid w:val="00CA2ACE"/>
    <w:rsid w:val="00CA4215"/>
    <w:rsid w:val="00CA5411"/>
    <w:rsid w:val="00CA7C42"/>
    <w:rsid w:val="00CB115B"/>
    <w:rsid w:val="00CB5FB6"/>
    <w:rsid w:val="00CC12EE"/>
    <w:rsid w:val="00CC1F87"/>
    <w:rsid w:val="00CC5401"/>
    <w:rsid w:val="00CC7B9A"/>
    <w:rsid w:val="00CD113A"/>
    <w:rsid w:val="00CD205A"/>
    <w:rsid w:val="00CD21AB"/>
    <w:rsid w:val="00CD46DB"/>
    <w:rsid w:val="00CD4ACC"/>
    <w:rsid w:val="00CD6583"/>
    <w:rsid w:val="00CD6FFE"/>
    <w:rsid w:val="00CE2631"/>
    <w:rsid w:val="00CF05BF"/>
    <w:rsid w:val="00CF124C"/>
    <w:rsid w:val="00CF4055"/>
    <w:rsid w:val="00CF7ED8"/>
    <w:rsid w:val="00D01813"/>
    <w:rsid w:val="00D04252"/>
    <w:rsid w:val="00D0599B"/>
    <w:rsid w:val="00D070E7"/>
    <w:rsid w:val="00D1653D"/>
    <w:rsid w:val="00D206FE"/>
    <w:rsid w:val="00D20DFD"/>
    <w:rsid w:val="00D23CED"/>
    <w:rsid w:val="00D244FA"/>
    <w:rsid w:val="00D2625B"/>
    <w:rsid w:val="00D304B3"/>
    <w:rsid w:val="00D31DB3"/>
    <w:rsid w:val="00D37F00"/>
    <w:rsid w:val="00D416B5"/>
    <w:rsid w:val="00D4469C"/>
    <w:rsid w:val="00D4678A"/>
    <w:rsid w:val="00D50D1B"/>
    <w:rsid w:val="00D52DD6"/>
    <w:rsid w:val="00D53BD4"/>
    <w:rsid w:val="00D560E1"/>
    <w:rsid w:val="00D6434F"/>
    <w:rsid w:val="00D66D0F"/>
    <w:rsid w:val="00D7349E"/>
    <w:rsid w:val="00D765CB"/>
    <w:rsid w:val="00D77376"/>
    <w:rsid w:val="00D82F45"/>
    <w:rsid w:val="00D84B1B"/>
    <w:rsid w:val="00D856F1"/>
    <w:rsid w:val="00D877C8"/>
    <w:rsid w:val="00D87FBF"/>
    <w:rsid w:val="00D9052D"/>
    <w:rsid w:val="00D91DCD"/>
    <w:rsid w:val="00D92783"/>
    <w:rsid w:val="00D97615"/>
    <w:rsid w:val="00DA4390"/>
    <w:rsid w:val="00DB4847"/>
    <w:rsid w:val="00DB5050"/>
    <w:rsid w:val="00DB6D5B"/>
    <w:rsid w:val="00DC0875"/>
    <w:rsid w:val="00DC0D99"/>
    <w:rsid w:val="00DC1FE8"/>
    <w:rsid w:val="00DC36C0"/>
    <w:rsid w:val="00DC7419"/>
    <w:rsid w:val="00DD632D"/>
    <w:rsid w:val="00DD7D59"/>
    <w:rsid w:val="00DE1056"/>
    <w:rsid w:val="00DE2B6F"/>
    <w:rsid w:val="00DE3494"/>
    <w:rsid w:val="00DF16F2"/>
    <w:rsid w:val="00DF39E2"/>
    <w:rsid w:val="00DF639F"/>
    <w:rsid w:val="00E00789"/>
    <w:rsid w:val="00E01360"/>
    <w:rsid w:val="00E04CF3"/>
    <w:rsid w:val="00E055C3"/>
    <w:rsid w:val="00E0623B"/>
    <w:rsid w:val="00E10336"/>
    <w:rsid w:val="00E1073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D11"/>
    <w:rsid w:val="00E57E3D"/>
    <w:rsid w:val="00E679C3"/>
    <w:rsid w:val="00E70949"/>
    <w:rsid w:val="00E7404F"/>
    <w:rsid w:val="00E76623"/>
    <w:rsid w:val="00E76BDA"/>
    <w:rsid w:val="00E80B85"/>
    <w:rsid w:val="00E818A0"/>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6846"/>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4D9D"/>
    <w:rsid w:val="00F25FD4"/>
    <w:rsid w:val="00F26B5C"/>
    <w:rsid w:val="00F315CB"/>
    <w:rsid w:val="00F32A48"/>
    <w:rsid w:val="00F333AF"/>
    <w:rsid w:val="00F3394A"/>
    <w:rsid w:val="00F341E4"/>
    <w:rsid w:val="00F3611A"/>
    <w:rsid w:val="00F4689C"/>
    <w:rsid w:val="00F52DAB"/>
    <w:rsid w:val="00F6167B"/>
    <w:rsid w:val="00F61E76"/>
    <w:rsid w:val="00F67C85"/>
    <w:rsid w:val="00F72882"/>
    <w:rsid w:val="00F8292F"/>
    <w:rsid w:val="00F85728"/>
    <w:rsid w:val="00F866E3"/>
    <w:rsid w:val="00F879E7"/>
    <w:rsid w:val="00F903D1"/>
    <w:rsid w:val="00F918A8"/>
    <w:rsid w:val="00F952EB"/>
    <w:rsid w:val="00FA0168"/>
    <w:rsid w:val="00FA6507"/>
    <w:rsid w:val="00FB2710"/>
    <w:rsid w:val="00FB34E1"/>
    <w:rsid w:val="00FB3A7B"/>
    <w:rsid w:val="00FB476B"/>
    <w:rsid w:val="00FC342E"/>
    <w:rsid w:val="00FC43FD"/>
    <w:rsid w:val="00FC490A"/>
    <w:rsid w:val="00FC61DA"/>
    <w:rsid w:val="00FC7291"/>
    <w:rsid w:val="00FD0F37"/>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E8E386C5-49A5-4B85-BE6A-CBA4C4217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paragraph" w:customStyle="1" w:styleId="TAN">
    <w:name w:val="TAN"/>
    <w:basedOn w:val="a"/>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a0"/>
    <w:link w:val="Doc-text2"/>
    <w:locked/>
    <w:rsid w:val="006E7BFF"/>
    <w:rPr>
      <w:rFonts w:ascii="Arial" w:hAnsi="Arial" w:cs="Arial"/>
      <w:lang w:eastAsia="en-GB"/>
    </w:rPr>
  </w:style>
  <w:style w:type="paragraph" w:customStyle="1" w:styleId="Doc-text2">
    <w:name w:val="Doc-text2"/>
    <w:basedOn w:val="a"/>
    <w:link w:val="Doc-text2Char"/>
    <w:rsid w:val="006E7BFF"/>
    <w:pPr>
      <w:overflowPunct w:val="0"/>
      <w:autoSpaceDE w:val="0"/>
      <w:autoSpaceDN w:val="0"/>
      <w:spacing w:after="0" w:line="240" w:lineRule="auto"/>
      <w:ind w:left="1622" w:hanging="363"/>
    </w:pPr>
    <w:rPr>
      <w:rFonts w:ascii="Arial" w:hAnsi="Arial" w:cs="Arial"/>
      <w:lang w:eastAsia="en-GB"/>
    </w:rPr>
  </w:style>
  <w:style w:type="paragraph" w:customStyle="1" w:styleId="PL">
    <w:name w:val="PL"/>
    <w:link w:val="PLChar"/>
    <w:qFormat/>
    <w:rsid w:val="004C0E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4C0E39"/>
    <w:rPr>
      <w:rFonts w:ascii="Courier New" w:eastAsia="Batang" w:hAnsi="Courier New" w:cs="Times New Roman"/>
      <w:noProof/>
      <w:sz w:val="16"/>
      <w:szCs w:val="20"/>
      <w:shd w:val="clear" w:color="auto" w:fill="E6E6E6"/>
      <w:lang w:val="en-GB" w:eastAsia="sv-SE"/>
    </w:rPr>
  </w:style>
  <w:style w:type="paragraph" w:styleId="af">
    <w:name w:val="Title"/>
    <w:basedOn w:val="a"/>
    <w:next w:val="a"/>
    <w:link w:val="af0"/>
    <w:uiPriority w:val="10"/>
    <w:qFormat/>
    <w:rsid w:val="00A4162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0">
    <w:name w:val="標題 字元"/>
    <w:basedOn w:val="a0"/>
    <w:link w:val="af"/>
    <w:uiPriority w:val="10"/>
    <w:rsid w:val="00A4162C"/>
    <w:rPr>
      <w:rFonts w:asciiTheme="majorHAnsi" w:eastAsiaTheme="majorEastAsia" w:hAnsiTheme="majorHAnsi" w:cstheme="majorBidi"/>
      <w:spacing w:val="-10"/>
      <w:kern w:val="28"/>
      <w:sz w:val="56"/>
      <w:szCs w:val="56"/>
    </w:rPr>
  </w:style>
  <w:style w:type="character" w:styleId="af1">
    <w:name w:val="annotation reference"/>
    <w:basedOn w:val="a0"/>
    <w:uiPriority w:val="99"/>
    <w:semiHidden/>
    <w:unhideWhenUsed/>
    <w:rsid w:val="00A204FE"/>
    <w:rPr>
      <w:sz w:val="18"/>
      <w:szCs w:val="18"/>
    </w:rPr>
  </w:style>
  <w:style w:type="paragraph" w:styleId="af2">
    <w:name w:val="annotation text"/>
    <w:basedOn w:val="a"/>
    <w:link w:val="af3"/>
    <w:uiPriority w:val="99"/>
    <w:semiHidden/>
    <w:unhideWhenUsed/>
    <w:rsid w:val="00A204FE"/>
  </w:style>
  <w:style w:type="character" w:customStyle="1" w:styleId="af3">
    <w:name w:val="註解文字 字元"/>
    <w:basedOn w:val="a0"/>
    <w:link w:val="af2"/>
    <w:uiPriority w:val="99"/>
    <w:semiHidden/>
    <w:rsid w:val="00A204FE"/>
  </w:style>
  <w:style w:type="paragraph" w:styleId="af4">
    <w:name w:val="annotation subject"/>
    <w:basedOn w:val="af2"/>
    <w:next w:val="af2"/>
    <w:link w:val="af5"/>
    <w:uiPriority w:val="99"/>
    <w:semiHidden/>
    <w:unhideWhenUsed/>
    <w:rsid w:val="00A204FE"/>
    <w:rPr>
      <w:b/>
      <w:bCs/>
    </w:rPr>
  </w:style>
  <w:style w:type="character" w:customStyle="1" w:styleId="af5">
    <w:name w:val="註解主旨 字元"/>
    <w:basedOn w:val="af3"/>
    <w:link w:val="af4"/>
    <w:uiPriority w:val="99"/>
    <w:semiHidden/>
    <w:rsid w:val="00A204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648">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04716150">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14165258">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4468A-E051-4BC0-8358-59578BBFA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1023</Words>
  <Characters>5837</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Company>
  <LinksUpToDate>false</LinksUpToDate>
  <CharactersWithSpaces>6847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 Lin (林坤昌)</dc:creator>
  <cp:lastModifiedBy>Ato-MediaTek</cp:lastModifiedBy>
  <cp:revision>7</cp:revision>
  <dcterms:created xsi:type="dcterms:W3CDTF">2018-05-10T04:19:00Z</dcterms:created>
  <dcterms:modified xsi:type="dcterms:W3CDTF">2018-05-11T14:24:00Z</dcterms:modified>
</cp:coreProperties>
</file>